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AD27" w14:textId="0DE7F46F" w:rsidR="006C0C1C" w:rsidRDefault="006C0C1C"/>
    <w:p w14:paraId="245BDFF9" w14:textId="0BCEE9AB" w:rsidR="001501F7" w:rsidRDefault="00111F5B" w:rsidP="00111F5B">
      <w:pPr>
        <w:jc w:val="center"/>
        <w:rPr>
          <w:sz w:val="96"/>
          <w:szCs w:val="96"/>
        </w:rPr>
      </w:pPr>
      <w:r w:rsidRPr="00111F5B">
        <w:rPr>
          <w:sz w:val="96"/>
          <w:szCs w:val="96"/>
        </w:rPr>
        <w:t xml:space="preserve">Australian Dairy Carbon Calculator </w:t>
      </w:r>
    </w:p>
    <w:p w14:paraId="1956763D" w14:textId="2315F3F7" w:rsidR="00DC28F0" w:rsidRDefault="00DC28F0" w:rsidP="00111F5B">
      <w:pPr>
        <w:jc w:val="center"/>
        <w:rPr>
          <w:sz w:val="96"/>
          <w:szCs w:val="96"/>
        </w:rPr>
      </w:pPr>
      <w:r>
        <w:rPr>
          <w:sz w:val="96"/>
          <w:szCs w:val="96"/>
        </w:rPr>
        <w:t>Manual</w:t>
      </w:r>
    </w:p>
    <w:p w14:paraId="4EAB69A6" w14:textId="3F56B6C7" w:rsidR="00B33161" w:rsidRPr="00066994" w:rsidRDefault="00B33161" w:rsidP="00111F5B">
      <w:pPr>
        <w:jc w:val="center"/>
        <w:rPr>
          <w:sz w:val="56"/>
          <w:szCs w:val="56"/>
        </w:rPr>
      </w:pPr>
      <w:r w:rsidRPr="00066994">
        <w:rPr>
          <w:sz w:val="56"/>
          <w:szCs w:val="56"/>
        </w:rPr>
        <w:t>Version 5</w:t>
      </w:r>
    </w:p>
    <w:p w14:paraId="5575FFD9" w14:textId="6880AB81" w:rsidR="00066994" w:rsidRDefault="00066994" w:rsidP="00111F5B">
      <w:pPr>
        <w:jc w:val="center"/>
        <w:rPr>
          <w:sz w:val="56"/>
          <w:szCs w:val="56"/>
        </w:rPr>
      </w:pPr>
      <w:r>
        <w:rPr>
          <w:sz w:val="56"/>
          <w:szCs w:val="56"/>
        </w:rPr>
        <w:t>Section 6</w:t>
      </w:r>
      <w:r w:rsidR="005A0E90">
        <w:rPr>
          <w:sz w:val="56"/>
          <w:szCs w:val="56"/>
        </w:rPr>
        <w:t xml:space="preserve"> only</w:t>
      </w:r>
      <w:r w:rsidR="004F42A9">
        <w:rPr>
          <w:sz w:val="56"/>
          <w:szCs w:val="56"/>
        </w:rPr>
        <w:t xml:space="preserve"> </w:t>
      </w:r>
      <w:r>
        <w:rPr>
          <w:sz w:val="56"/>
          <w:szCs w:val="56"/>
        </w:rPr>
        <w:t>- DFMP benchmarking</w:t>
      </w:r>
    </w:p>
    <w:p w14:paraId="7CAED1D9" w14:textId="233C2577" w:rsidR="005F6CDB" w:rsidRPr="00066994" w:rsidRDefault="005B19B1" w:rsidP="00111F5B">
      <w:pPr>
        <w:jc w:val="center"/>
        <w:rPr>
          <w:sz w:val="56"/>
          <w:szCs w:val="56"/>
        </w:rPr>
      </w:pPr>
      <w:r w:rsidRPr="00066994">
        <w:rPr>
          <w:sz w:val="56"/>
          <w:szCs w:val="56"/>
        </w:rPr>
        <w:t>November</w:t>
      </w:r>
      <w:r w:rsidR="005F6CDB" w:rsidRPr="00066994">
        <w:rPr>
          <w:sz w:val="56"/>
          <w:szCs w:val="56"/>
        </w:rPr>
        <w:t xml:space="preserve"> 2022</w:t>
      </w:r>
    </w:p>
    <w:p w14:paraId="0CE064B1" w14:textId="77777777" w:rsidR="001501F7" w:rsidRDefault="001501F7"/>
    <w:p w14:paraId="110F7018" w14:textId="2AE8239A" w:rsidR="001501F7" w:rsidRDefault="00BF5767" w:rsidP="00BF5767">
      <w:pPr>
        <w:jc w:val="center"/>
      </w:pPr>
      <w:r>
        <w:rPr>
          <w:noProof/>
        </w:rPr>
        <w:drawing>
          <wp:inline distT="0" distB="0" distL="0" distR="0" wp14:anchorId="25195156" wp14:editId="436587C2">
            <wp:extent cx="4478400" cy="2980800"/>
            <wp:effectExtent l="0" t="0" r="0" b="0"/>
            <wp:docPr id="1" name="Picture 1" descr="A herd of cows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erd of cows in a fiel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8400" cy="2980800"/>
                    </a:xfrm>
                    <a:prstGeom prst="rect">
                      <a:avLst/>
                    </a:prstGeom>
                    <a:noFill/>
                    <a:ln>
                      <a:noFill/>
                    </a:ln>
                  </pic:spPr>
                </pic:pic>
              </a:graphicData>
            </a:graphic>
          </wp:inline>
        </w:drawing>
      </w:r>
    </w:p>
    <w:p w14:paraId="3963F5D1" w14:textId="50E8D4A2" w:rsidR="001501F7" w:rsidRDefault="005F6CDB">
      <w:r w:rsidRPr="005F6CDB">
        <w:rPr>
          <w:noProof/>
        </w:rPr>
        <w:drawing>
          <wp:anchor distT="0" distB="0" distL="114300" distR="114300" simplePos="0" relativeHeight="251658240" behindDoc="0" locked="0" layoutInCell="1" allowOverlap="1" wp14:anchorId="0EEF8071" wp14:editId="43F15358">
            <wp:simplePos x="0" y="0"/>
            <wp:positionH relativeFrom="margin">
              <wp:posOffset>877570</wp:posOffset>
            </wp:positionH>
            <wp:positionV relativeFrom="paragraph">
              <wp:posOffset>55245</wp:posOffset>
            </wp:positionV>
            <wp:extent cx="1745004" cy="1048075"/>
            <wp:effectExtent l="0" t="0" r="7620" b="0"/>
            <wp:wrapNone/>
            <wp:docPr id="7" name="Picture 6" descr="Logo, company name&#10;&#10;Description automatically generated">
              <a:extLst xmlns:a="http://schemas.openxmlformats.org/drawingml/2006/main">
                <a:ext uri="{FF2B5EF4-FFF2-40B4-BE49-F238E27FC236}">
                  <a16:creationId xmlns:a16="http://schemas.microsoft.com/office/drawing/2014/main" id="{E01FD9AE-280F-4FFF-8E27-9B72E8A469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E01FD9AE-280F-4FFF-8E27-9B72E8A469A7}"/>
                        </a:ext>
                      </a:extLst>
                    </pic:cNvPr>
                    <pic:cNvPicPr>
                      <a:picLocks noChangeAspect="1"/>
                    </pic:cNvPicPr>
                  </pic:nvPicPr>
                  <pic:blipFill>
                    <a:blip r:embed="rId9"/>
                    <a:stretch>
                      <a:fillRect/>
                    </a:stretch>
                  </pic:blipFill>
                  <pic:spPr>
                    <a:xfrm>
                      <a:off x="0" y="0"/>
                      <a:ext cx="1745004" cy="1048075"/>
                    </a:xfrm>
                    <a:prstGeom prst="rect">
                      <a:avLst/>
                    </a:prstGeom>
                  </pic:spPr>
                </pic:pic>
              </a:graphicData>
            </a:graphic>
            <wp14:sizeRelH relativeFrom="margin">
              <wp14:pctWidth>0</wp14:pctWidth>
            </wp14:sizeRelH>
            <wp14:sizeRelV relativeFrom="margin">
              <wp14:pctHeight>0</wp14:pctHeight>
            </wp14:sizeRelV>
          </wp:anchor>
        </w:drawing>
      </w:r>
      <w:r w:rsidRPr="005F6CDB">
        <w:rPr>
          <w:noProof/>
        </w:rPr>
        <w:drawing>
          <wp:anchor distT="0" distB="0" distL="114300" distR="114300" simplePos="0" relativeHeight="251658241" behindDoc="0" locked="0" layoutInCell="1" allowOverlap="1" wp14:anchorId="650F5723" wp14:editId="1C172798">
            <wp:simplePos x="0" y="0"/>
            <wp:positionH relativeFrom="margin">
              <wp:posOffset>3529330</wp:posOffset>
            </wp:positionH>
            <wp:positionV relativeFrom="paragraph">
              <wp:posOffset>231775</wp:posOffset>
            </wp:positionV>
            <wp:extent cx="1213595" cy="699610"/>
            <wp:effectExtent l="0" t="0" r="5715" b="5715"/>
            <wp:wrapNone/>
            <wp:docPr id="9" name="Picture 7" descr="A picture containing text&#10;&#10;Description automatically generated">
              <a:extLst xmlns:a="http://schemas.openxmlformats.org/drawingml/2006/main">
                <a:ext uri="{FF2B5EF4-FFF2-40B4-BE49-F238E27FC236}">
                  <a16:creationId xmlns:a16="http://schemas.microsoft.com/office/drawing/2014/main" id="{5376AF98-E4BB-4D93-B3FC-35870CA8E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5376AF98-E4BB-4D93-B3FC-35870CA8E720}"/>
                        </a:ext>
                      </a:extLst>
                    </pic:cNvPr>
                    <pic:cNvPicPr>
                      <a:picLocks noChangeAspect="1"/>
                    </pic:cNvPicPr>
                  </pic:nvPicPr>
                  <pic:blipFill>
                    <a:blip r:embed="rId10"/>
                    <a:stretch>
                      <a:fillRect/>
                    </a:stretch>
                  </pic:blipFill>
                  <pic:spPr>
                    <a:xfrm>
                      <a:off x="0" y="0"/>
                      <a:ext cx="1213595" cy="699610"/>
                    </a:xfrm>
                    <a:prstGeom prst="rect">
                      <a:avLst/>
                    </a:prstGeom>
                  </pic:spPr>
                </pic:pic>
              </a:graphicData>
            </a:graphic>
            <wp14:sizeRelH relativeFrom="margin">
              <wp14:pctWidth>0</wp14:pctWidth>
            </wp14:sizeRelH>
            <wp14:sizeRelV relativeFrom="margin">
              <wp14:pctHeight>0</wp14:pctHeight>
            </wp14:sizeRelV>
          </wp:anchor>
        </w:drawing>
      </w:r>
    </w:p>
    <w:p w14:paraId="5CD7AB46" w14:textId="267C6F1C" w:rsidR="00AE0CD8" w:rsidRDefault="00996E6F" w:rsidP="00194937">
      <w:pPr>
        <w:pStyle w:val="Heading2"/>
        <w:spacing w:before="160" w:after="160" w:line="276" w:lineRule="auto"/>
      </w:pPr>
      <w:bookmarkStart w:id="0" w:name="_Toc116988443"/>
      <w:r>
        <w:lastRenderedPageBreak/>
        <w:t>Acknowledgements</w:t>
      </w:r>
      <w:bookmarkEnd w:id="0"/>
    </w:p>
    <w:p w14:paraId="52BC0D76" w14:textId="7EAD0641" w:rsidR="007863A7" w:rsidRDefault="00996E6F" w:rsidP="00194937">
      <w:pPr>
        <w:spacing w:before="160" w:line="276" w:lineRule="auto"/>
      </w:pPr>
      <w:r>
        <w:t>Dairy Australia and the Tasmanian Institute of Agriculture (TIA) would li</w:t>
      </w:r>
      <w:r w:rsidR="000D5AC1">
        <w:t>k</w:t>
      </w:r>
      <w:r>
        <w:t xml:space="preserve">e to acknowledge and </w:t>
      </w:r>
      <w:r w:rsidR="000D5AC1">
        <w:t xml:space="preserve">give </w:t>
      </w:r>
      <w:r>
        <w:t>thank</w:t>
      </w:r>
      <w:r w:rsidR="000D5AC1">
        <w:t>s</w:t>
      </w:r>
      <w:r w:rsidR="00AA388F">
        <w:t xml:space="preserve"> to</w:t>
      </w:r>
      <w:r>
        <w:t xml:space="preserve"> </w:t>
      </w:r>
      <w:r w:rsidR="00BA65FC">
        <w:t xml:space="preserve">Meat &amp; Livestock Australia and Integrity Ag &amp; Environment for </w:t>
      </w:r>
      <w:r w:rsidR="00232156">
        <w:t xml:space="preserve">the use of background </w:t>
      </w:r>
      <w:r w:rsidR="005A1D14">
        <w:t xml:space="preserve">text </w:t>
      </w:r>
      <w:r w:rsidR="00941B81">
        <w:t>(e.g. information on GHG emissions</w:t>
      </w:r>
      <w:r w:rsidR="00882539">
        <w:t xml:space="preserve">, emission sources etc) </w:t>
      </w:r>
      <w:r w:rsidR="005A1D14">
        <w:t xml:space="preserve">from their carbon accounting </w:t>
      </w:r>
      <w:r w:rsidR="00AA388F">
        <w:t xml:space="preserve">technical </w:t>
      </w:r>
      <w:r w:rsidR="005A1D14">
        <w:t>manual for the Sheep Beef Greenhouse gas Accounting Framework (SB-GAF) calcula</w:t>
      </w:r>
      <w:r w:rsidR="00AA388F">
        <w:t>tor.</w:t>
      </w:r>
      <w:r w:rsidR="00941B81">
        <w:t xml:space="preserve"> </w:t>
      </w:r>
    </w:p>
    <w:p w14:paraId="69DE72BE" w14:textId="25E48DBE" w:rsidR="000D5AC1" w:rsidRDefault="000D5AC1" w:rsidP="00194937">
      <w:pPr>
        <w:spacing w:before="160" w:line="276" w:lineRule="auto"/>
      </w:pPr>
      <w:r>
        <w:t xml:space="preserve">We would also like to thank </w:t>
      </w:r>
      <w:r w:rsidR="00295982">
        <w:t>Ag</w:t>
      </w:r>
      <w:r w:rsidR="0091020F">
        <w:t>riculture</w:t>
      </w:r>
      <w:r w:rsidR="00295982">
        <w:t xml:space="preserve"> Victoria for allowing the reproduction</w:t>
      </w:r>
      <w:r w:rsidR="00CB7825">
        <w:t xml:space="preserve"> of Figure 1 (adapted</w:t>
      </w:r>
      <w:r w:rsidR="00F70C55">
        <w:t xml:space="preserve"> with updated GWPs for th</w:t>
      </w:r>
      <w:r w:rsidR="00304D34">
        <w:t>is</w:t>
      </w:r>
      <w:r w:rsidR="00F70C55">
        <w:t xml:space="preserve"> manual</w:t>
      </w:r>
      <w:r w:rsidR="00CB7825">
        <w:t>)</w:t>
      </w:r>
      <w:r w:rsidR="00A004B6">
        <w:t>.</w:t>
      </w:r>
    </w:p>
    <w:p w14:paraId="1CC2EACF" w14:textId="10CB7089" w:rsidR="00B405A3" w:rsidRDefault="00297A0B" w:rsidP="00194937">
      <w:pPr>
        <w:spacing w:before="160" w:line="276" w:lineRule="auto"/>
      </w:pPr>
      <w:r>
        <w:t xml:space="preserve">The original Australian Dairy Carbon Calculator </w:t>
      </w:r>
      <w:r w:rsidR="0013288F">
        <w:t>(ADCC)</w:t>
      </w:r>
      <w:r w:rsidR="006E26F5">
        <w:t xml:space="preserve">, previously known as </w:t>
      </w:r>
      <w:r w:rsidR="00932879">
        <w:t xml:space="preserve">the Dairy Greenhouse gas Abatement Strategies (DGAS) </w:t>
      </w:r>
      <w:r w:rsidR="0041725D">
        <w:t>calculator</w:t>
      </w:r>
      <w:r w:rsidR="006E26F5">
        <w:t xml:space="preserve">, </w:t>
      </w:r>
      <w:r w:rsidR="0041725D">
        <w:t xml:space="preserve">was </w:t>
      </w:r>
      <w:r>
        <w:t xml:space="preserve">developed in the late 2000’s with funding from </w:t>
      </w:r>
      <w:r w:rsidR="00932879">
        <w:t>Dairy Australia and t</w:t>
      </w:r>
      <w:r w:rsidR="00925AF0">
        <w:t xml:space="preserve">he </w:t>
      </w:r>
      <w:r w:rsidR="0013288F">
        <w:t>Australian Government Department of Agriculture</w:t>
      </w:r>
      <w:r w:rsidR="00932879">
        <w:t xml:space="preserve">, Fisheries and Forestry. </w:t>
      </w:r>
    </w:p>
    <w:p w14:paraId="13FA99A7" w14:textId="36E0D798" w:rsidR="00E045EA" w:rsidRDefault="00932879" w:rsidP="00194937">
      <w:pPr>
        <w:spacing w:before="160" w:line="276" w:lineRule="auto"/>
      </w:pPr>
      <w:r>
        <w:t xml:space="preserve">Over time, the </w:t>
      </w:r>
      <w:r w:rsidR="0041725D">
        <w:t xml:space="preserve">calculator has been maintained and upgraded within projects funded by </w:t>
      </w:r>
      <w:r w:rsidR="00E34642">
        <w:t>t</w:t>
      </w:r>
      <w:r w:rsidR="0041725D">
        <w:t>he Australian Federal Government</w:t>
      </w:r>
      <w:r w:rsidR="006767FC">
        <w:t xml:space="preserve"> </w:t>
      </w:r>
      <w:r w:rsidR="00072866">
        <w:t xml:space="preserve">Department of Agriculture, Fisheries and Forestry, </w:t>
      </w:r>
      <w:r w:rsidR="0013288F">
        <w:t>Dairy Australia, Meat &amp; Livestock Australia</w:t>
      </w:r>
      <w:r w:rsidR="001D751B">
        <w:t>,</w:t>
      </w:r>
      <w:r w:rsidR="0013288F">
        <w:t xml:space="preserve"> and Australian Wool Innovation. </w:t>
      </w:r>
      <w:r w:rsidR="006767FC">
        <w:t>Ver</w:t>
      </w:r>
      <w:r w:rsidR="0013288F">
        <w:t xml:space="preserve">sion </w:t>
      </w:r>
      <w:r w:rsidR="006767FC">
        <w:t xml:space="preserve">5 </w:t>
      </w:r>
      <w:r w:rsidR="0013288F">
        <w:t>of ADCC was funded by Dairy Australia. We acknowledge funding from all above-mentioned agencies to allow the develo</w:t>
      </w:r>
      <w:r w:rsidR="00A004B6">
        <w:t xml:space="preserve">pment and upgrading of the calculator as required to meet the most current guidelines. </w:t>
      </w:r>
    </w:p>
    <w:p w14:paraId="444C2A35" w14:textId="27235F2C" w:rsidR="00D57366" w:rsidRDefault="00D57366" w:rsidP="00194937">
      <w:pPr>
        <w:spacing w:before="160" w:line="276" w:lineRule="auto"/>
      </w:pPr>
      <w:r>
        <w:t>Many thanks to the Ag</w:t>
      </w:r>
      <w:r w:rsidR="00B92BEF">
        <w:t>riculture</w:t>
      </w:r>
      <w:r>
        <w:t xml:space="preserve"> Vic</w:t>
      </w:r>
      <w:r w:rsidR="00B92BEF">
        <w:t>toria</w:t>
      </w:r>
      <w:r>
        <w:t xml:space="preserve"> team </w:t>
      </w:r>
      <w:r w:rsidR="0004438A">
        <w:t xml:space="preserve">for </w:t>
      </w:r>
      <w:r>
        <w:t>providing access to the Dairy Farm Monitor Project and Queensland Dairy Accounting Scheme datasets</w:t>
      </w:r>
      <w:r w:rsidR="00DE5479">
        <w:t xml:space="preserve">. This allowed us to review </w:t>
      </w:r>
      <w:r w:rsidR="005D113A">
        <w:t xml:space="preserve">1,775 </w:t>
      </w:r>
      <w:r w:rsidR="00DE5479">
        <w:t xml:space="preserve">dairy farm datasets to </w:t>
      </w:r>
      <w:r w:rsidR="00D77717">
        <w:t>benchmark GHG emissions.</w:t>
      </w:r>
    </w:p>
    <w:p w14:paraId="375CC386" w14:textId="0E96D35D" w:rsidR="00DE5479" w:rsidRDefault="00DE5479" w:rsidP="00194937">
      <w:pPr>
        <w:spacing w:before="160" w:line="276" w:lineRule="auto"/>
      </w:pPr>
      <w:r>
        <w:t>Lastly, a huge thank you to everyone who took the time to review this manual</w:t>
      </w:r>
      <w:r w:rsidR="006A0C65">
        <w:t xml:space="preserve">. </w:t>
      </w:r>
    </w:p>
    <w:p w14:paraId="338316AD" w14:textId="4709B208" w:rsidR="006D440A" w:rsidRDefault="006D440A" w:rsidP="00194937">
      <w:pPr>
        <w:spacing w:before="160" w:line="276" w:lineRule="auto"/>
      </w:pPr>
    </w:p>
    <w:p w14:paraId="59FFA5CF" w14:textId="77291C03" w:rsidR="006D440A" w:rsidRDefault="006D440A" w:rsidP="00194937">
      <w:pPr>
        <w:spacing w:before="160" w:line="276" w:lineRule="auto"/>
      </w:pPr>
      <w:r w:rsidRPr="00FD0655">
        <w:t>Citation:</w:t>
      </w:r>
      <w:r>
        <w:t xml:space="preserve"> </w:t>
      </w:r>
    </w:p>
    <w:p w14:paraId="517B67BF" w14:textId="02CACD85" w:rsidR="00FB167B" w:rsidRDefault="008A499B" w:rsidP="00194937">
      <w:pPr>
        <w:spacing w:before="160" w:line="276" w:lineRule="auto"/>
      </w:pPr>
      <w:r>
        <w:t>KM Christie and Dairy Australia (2022) Australian Dairy Carbon Calculator</w:t>
      </w:r>
      <w:r w:rsidR="00C82375">
        <w:t xml:space="preserve"> (ADCC</w:t>
      </w:r>
      <w:r w:rsidR="00246B3B">
        <w:t>)</w:t>
      </w:r>
      <w:r w:rsidR="00C82375">
        <w:t>.</w:t>
      </w:r>
      <w:r w:rsidR="00246B3B">
        <w:t xml:space="preserve"> </w:t>
      </w:r>
    </w:p>
    <w:p w14:paraId="0E265A30" w14:textId="22F12287" w:rsidR="00C82375" w:rsidRDefault="00C82375" w:rsidP="00194937">
      <w:pPr>
        <w:spacing w:before="160" w:line="276" w:lineRule="auto"/>
      </w:pPr>
      <w:r>
        <w:t>(</w:t>
      </w:r>
      <w:r w:rsidR="00126E5C">
        <w:t xml:space="preserve">Tasmanian Institute of Agriculture: Launceston, </w:t>
      </w:r>
      <w:r w:rsidR="00A2752C">
        <w:t>Tasmania</w:t>
      </w:r>
      <w:r w:rsidR="00001A2C">
        <w:t>;</w:t>
      </w:r>
      <w:r w:rsidR="00126E5C">
        <w:t xml:space="preserve"> </w:t>
      </w:r>
      <w:r>
        <w:t>Dairy Australia: Melbourne, Victoria)</w:t>
      </w:r>
      <w:r w:rsidR="00DC750B">
        <w:t>.</w:t>
      </w:r>
    </w:p>
    <w:p w14:paraId="0E985BEB" w14:textId="060B04CA" w:rsidR="00FB167B" w:rsidRDefault="00FB167B" w:rsidP="00194937">
      <w:pPr>
        <w:spacing w:before="160" w:line="276" w:lineRule="auto"/>
      </w:pPr>
    </w:p>
    <w:p w14:paraId="6FC3789F" w14:textId="77777777" w:rsidR="00FB167B" w:rsidRDefault="00FB167B" w:rsidP="00194937">
      <w:pPr>
        <w:spacing w:before="160" w:line="276" w:lineRule="auto"/>
      </w:pPr>
    </w:p>
    <w:p w14:paraId="48468712" w14:textId="54B88DF0" w:rsidR="006A3093" w:rsidRDefault="006A3093" w:rsidP="00194937">
      <w:pPr>
        <w:spacing w:before="160" w:line="276" w:lineRule="auto"/>
      </w:pPr>
    </w:p>
    <w:p w14:paraId="472A0634" w14:textId="323CE6D0" w:rsidR="006A3093" w:rsidRDefault="006A3093" w:rsidP="00194937">
      <w:pPr>
        <w:spacing w:before="160" w:line="276" w:lineRule="auto"/>
      </w:pPr>
    </w:p>
    <w:p w14:paraId="2B8A5431" w14:textId="4558DE2C" w:rsidR="001501F7" w:rsidRDefault="007863A7" w:rsidP="00194937">
      <w:pPr>
        <w:spacing w:before="160" w:line="276" w:lineRule="auto"/>
      </w:pPr>
      <w:r>
        <w:t>T</w:t>
      </w:r>
      <w:r w:rsidR="001501F7" w:rsidRPr="001501F7">
        <w:t xml:space="preserve">his publication is published by Dairy Australia Limited ABN </w:t>
      </w:r>
      <w:r w:rsidR="00D53060">
        <w:t>60 105 227 987</w:t>
      </w:r>
      <w:r w:rsidR="001501F7" w:rsidRPr="001501F7">
        <w:t>. Dairy Australia</w:t>
      </w:r>
      <w:r w:rsidR="00FC2C14">
        <w:t xml:space="preserve"> and T</w:t>
      </w:r>
      <w:r w:rsidR="000C7467">
        <w:t>IA</w:t>
      </w:r>
      <w:r w:rsidR="00FC2C14">
        <w:t xml:space="preserve">, along with </w:t>
      </w:r>
      <w:r w:rsidR="00AA388F">
        <w:t xml:space="preserve">Meat &amp; Livestock Australia and </w:t>
      </w:r>
      <w:r w:rsidR="00D83759">
        <w:t>Integrity Ag &amp; Environment</w:t>
      </w:r>
      <w:r w:rsidR="006A3093">
        <w:t xml:space="preserve">, </w:t>
      </w:r>
      <w:r w:rsidR="000C7467">
        <w:t xml:space="preserve">have </w:t>
      </w:r>
      <w:r w:rsidR="001501F7" w:rsidRPr="001501F7">
        <w:t xml:space="preserve">endeavoured to ensure that all information in this publication is correct. However, we make no warranty </w:t>
      </w:r>
      <w:proofErr w:type="gramStart"/>
      <w:r w:rsidR="001501F7" w:rsidRPr="001501F7">
        <w:t>with regard to</w:t>
      </w:r>
      <w:proofErr w:type="gramEnd"/>
      <w:r w:rsidR="001501F7" w:rsidRPr="001501F7">
        <w:t xml:space="preserve"> the accuracy of the information and will not be liable if the information is inaccurate, </w:t>
      </w:r>
      <w:r w:rsidR="00A2752C" w:rsidRPr="001501F7">
        <w:t>incomplete,</w:t>
      </w:r>
      <w:r w:rsidR="001501F7" w:rsidRPr="001501F7">
        <w:t xml:space="preserve"> or out of date. The contents should not be used as a substitute for seeking independent professional advice. You should make your own enquiries before making decisions concerning your interests. Reproduction in whole or in part of this publication is prohibited without prior written consent of </w:t>
      </w:r>
      <w:r w:rsidR="001501F7">
        <w:t>D</w:t>
      </w:r>
      <w:r w:rsidR="00AE0CD8">
        <w:t xml:space="preserve">airy </w:t>
      </w:r>
      <w:r w:rsidR="001501F7" w:rsidRPr="001501F7">
        <w:t>A</w:t>
      </w:r>
      <w:r w:rsidR="00AE0CD8">
        <w:t>ustralia</w:t>
      </w:r>
      <w:r w:rsidR="001501F7" w:rsidRPr="001501F7">
        <w:t>.</w:t>
      </w:r>
    </w:p>
    <w:sdt>
      <w:sdtPr>
        <w:rPr>
          <w:rFonts w:asciiTheme="minorHAnsi" w:eastAsiaTheme="minorHAnsi" w:hAnsiTheme="minorHAnsi" w:cstheme="minorBidi"/>
          <w:color w:val="auto"/>
          <w:sz w:val="22"/>
          <w:szCs w:val="22"/>
          <w:lang w:val="en-AU"/>
        </w:rPr>
        <w:id w:val="-1419791446"/>
        <w:docPartObj>
          <w:docPartGallery w:val="Table of Contents"/>
          <w:docPartUnique/>
        </w:docPartObj>
      </w:sdtPr>
      <w:sdtEndPr>
        <w:rPr>
          <w:b/>
          <w:bCs/>
          <w:noProof/>
        </w:rPr>
      </w:sdtEndPr>
      <w:sdtContent>
        <w:p w14:paraId="5BC8CAA6" w14:textId="77777777" w:rsidR="00133344" w:rsidRDefault="00133344" w:rsidP="00194937">
          <w:pPr>
            <w:pStyle w:val="TOCHeading"/>
            <w:spacing w:before="160" w:after="160" w:line="276" w:lineRule="auto"/>
            <w:rPr>
              <w:rFonts w:asciiTheme="minorHAnsi" w:eastAsiaTheme="minorHAnsi" w:hAnsiTheme="minorHAnsi" w:cstheme="minorBidi"/>
              <w:color w:val="auto"/>
              <w:sz w:val="22"/>
              <w:szCs w:val="22"/>
              <w:lang w:val="en-AU"/>
            </w:rPr>
            <w:sectPr w:rsidR="00133344" w:rsidSect="00B47BD2">
              <w:footerReference w:type="default" r:id="rId11"/>
              <w:pgSz w:w="11906" w:h="16838"/>
              <w:pgMar w:top="1440" w:right="1440" w:bottom="1440" w:left="1440" w:header="708" w:footer="708" w:gutter="0"/>
              <w:cols w:space="708"/>
              <w:titlePg/>
              <w:docGrid w:linePitch="360"/>
            </w:sectPr>
          </w:pPr>
        </w:p>
        <w:p w14:paraId="00C5C0A1" w14:textId="2BFE4BD5" w:rsidR="007C0B4A" w:rsidRDefault="007C0B4A" w:rsidP="00194937">
          <w:pPr>
            <w:pStyle w:val="TOCHeading"/>
            <w:spacing w:before="160" w:after="160" w:line="276" w:lineRule="auto"/>
          </w:pPr>
          <w:r>
            <w:lastRenderedPageBreak/>
            <w:t>Table of Contents</w:t>
          </w:r>
        </w:p>
        <w:p w14:paraId="2B6F0398" w14:textId="4608A898" w:rsidR="00EF498D" w:rsidRDefault="007C0B4A">
          <w:pPr>
            <w:pStyle w:val="TOC2"/>
            <w:rPr>
              <w:rFonts w:eastAsiaTheme="minorEastAsia"/>
              <w:noProof/>
              <w:lang w:eastAsia="en-AU"/>
            </w:rPr>
          </w:pPr>
          <w:r>
            <w:fldChar w:fldCharType="begin"/>
          </w:r>
          <w:r>
            <w:instrText xml:space="preserve"> TOC \o "1-3" \h \z \u </w:instrText>
          </w:r>
          <w:r>
            <w:fldChar w:fldCharType="separate"/>
          </w:r>
          <w:hyperlink w:anchor="_Toc116988443" w:history="1">
            <w:r w:rsidR="00EF498D" w:rsidRPr="00813874">
              <w:rPr>
                <w:rStyle w:val="Hyperlink"/>
                <w:noProof/>
              </w:rPr>
              <w:t>Acknowledgements</w:t>
            </w:r>
            <w:r w:rsidR="00EF498D">
              <w:rPr>
                <w:noProof/>
                <w:webHidden/>
              </w:rPr>
              <w:tab/>
            </w:r>
            <w:r w:rsidR="00EF498D">
              <w:rPr>
                <w:noProof/>
                <w:webHidden/>
              </w:rPr>
              <w:fldChar w:fldCharType="begin"/>
            </w:r>
            <w:r w:rsidR="00EF498D">
              <w:rPr>
                <w:noProof/>
                <w:webHidden/>
              </w:rPr>
              <w:instrText xml:space="preserve"> PAGEREF _Toc116988443 \h </w:instrText>
            </w:r>
            <w:r w:rsidR="00EF498D">
              <w:rPr>
                <w:noProof/>
                <w:webHidden/>
              </w:rPr>
            </w:r>
            <w:r w:rsidR="00EF498D">
              <w:rPr>
                <w:noProof/>
                <w:webHidden/>
              </w:rPr>
              <w:fldChar w:fldCharType="separate"/>
            </w:r>
            <w:r w:rsidR="00EF498D">
              <w:rPr>
                <w:noProof/>
                <w:webHidden/>
              </w:rPr>
              <w:t>2</w:t>
            </w:r>
            <w:r w:rsidR="00EF498D">
              <w:rPr>
                <w:noProof/>
                <w:webHidden/>
              </w:rPr>
              <w:fldChar w:fldCharType="end"/>
            </w:r>
          </w:hyperlink>
        </w:p>
        <w:p w14:paraId="5CE9B848" w14:textId="28B3F485" w:rsidR="00EF498D" w:rsidRDefault="00212440">
          <w:pPr>
            <w:pStyle w:val="TOC1"/>
            <w:rPr>
              <w:rFonts w:eastAsiaTheme="minorEastAsia"/>
              <w:noProof/>
              <w:lang w:eastAsia="en-AU"/>
            </w:rPr>
          </w:pPr>
          <w:hyperlink w:anchor="_Toc116988444" w:history="1">
            <w:r w:rsidR="00EF498D" w:rsidRPr="00813874">
              <w:rPr>
                <w:rStyle w:val="Hyperlink"/>
                <w:noProof/>
              </w:rPr>
              <w:t>1.</w:t>
            </w:r>
            <w:r w:rsidR="00EF498D">
              <w:rPr>
                <w:rFonts w:eastAsiaTheme="minorEastAsia"/>
                <w:noProof/>
                <w:lang w:eastAsia="en-AU"/>
              </w:rPr>
              <w:tab/>
            </w:r>
            <w:r w:rsidR="00EF498D" w:rsidRPr="00813874">
              <w:rPr>
                <w:rStyle w:val="Hyperlink"/>
                <w:noProof/>
              </w:rPr>
              <w:t>Australian Dairy Carbon Calculator Manual</w:t>
            </w:r>
            <w:r w:rsidR="00EF498D">
              <w:rPr>
                <w:noProof/>
                <w:webHidden/>
              </w:rPr>
              <w:tab/>
            </w:r>
            <w:r w:rsidR="00EF498D">
              <w:rPr>
                <w:noProof/>
                <w:webHidden/>
              </w:rPr>
              <w:fldChar w:fldCharType="begin"/>
            </w:r>
            <w:r w:rsidR="00EF498D">
              <w:rPr>
                <w:noProof/>
                <w:webHidden/>
              </w:rPr>
              <w:instrText xml:space="preserve"> PAGEREF _Toc116988444 \h </w:instrText>
            </w:r>
            <w:r w:rsidR="00EF498D">
              <w:rPr>
                <w:noProof/>
                <w:webHidden/>
              </w:rPr>
            </w:r>
            <w:r w:rsidR="00EF498D">
              <w:rPr>
                <w:noProof/>
                <w:webHidden/>
              </w:rPr>
              <w:fldChar w:fldCharType="separate"/>
            </w:r>
            <w:r w:rsidR="00EF498D">
              <w:rPr>
                <w:noProof/>
                <w:webHidden/>
              </w:rPr>
              <w:t>4</w:t>
            </w:r>
            <w:r w:rsidR="00EF498D">
              <w:rPr>
                <w:noProof/>
                <w:webHidden/>
              </w:rPr>
              <w:fldChar w:fldCharType="end"/>
            </w:r>
          </w:hyperlink>
        </w:p>
        <w:p w14:paraId="0D4F88BD" w14:textId="11980FD9" w:rsidR="00EF498D" w:rsidRDefault="00212440">
          <w:pPr>
            <w:pStyle w:val="TOC1"/>
            <w:rPr>
              <w:rFonts w:eastAsiaTheme="minorEastAsia"/>
              <w:noProof/>
              <w:lang w:eastAsia="en-AU"/>
            </w:rPr>
          </w:pPr>
          <w:hyperlink w:anchor="_Toc116988445" w:history="1">
            <w:r w:rsidR="00EF498D" w:rsidRPr="00813874">
              <w:rPr>
                <w:rStyle w:val="Hyperlink"/>
                <w:noProof/>
              </w:rPr>
              <w:t>2.</w:t>
            </w:r>
            <w:r w:rsidR="00EF498D">
              <w:rPr>
                <w:rFonts w:eastAsiaTheme="minorEastAsia"/>
                <w:noProof/>
                <w:lang w:eastAsia="en-AU"/>
              </w:rPr>
              <w:tab/>
            </w:r>
            <w:r w:rsidR="00EF498D" w:rsidRPr="00813874">
              <w:rPr>
                <w:rStyle w:val="Hyperlink"/>
                <w:noProof/>
              </w:rPr>
              <w:t>Glossary and commonly used acronyms</w:t>
            </w:r>
            <w:r w:rsidR="00EF498D">
              <w:rPr>
                <w:noProof/>
                <w:webHidden/>
              </w:rPr>
              <w:tab/>
            </w:r>
            <w:r w:rsidR="00EF498D">
              <w:rPr>
                <w:noProof/>
                <w:webHidden/>
              </w:rPr>
              <w:fldChar w:fldCharType="begin"/>
            </w:r>
            <w:r w:rsidR="00EF498D">
              <w:rPr>
                <w:noProof/>
                <w:webHidden/>
              </w:rPr>
              <w:instrText xml:space="preserve"> PAGEREF _Toc116988445 \h </w:instrText>
            </w:r>
            <w:r w:rsidR="00EF498D">
              <w:rPr>
                <w:noProof/>
                <w:webHidden/>
              </w:rPr>
            </w:r>
            <w:r w:rsidR="00EF498D">
              <w:rPr>
                <w:noProof/>
                <w:webHidden/>
              </w:rPr>
              <w:fldChar w:fldCharType="separate"/>
            </w:r>
            <w:r w:rsidR="00EF498D">
              <w:rPr>
                <w:noProof/>
                <w:webHidden/>
              </w:rPr>
              <w:t>5</w:t>
            </w:r>
            <w:r w:rsidR="00EF498D">
              <w:rPr>
                <w:noProof/>
                <w:webHidden/>
              </w:rPr>
              <w:fldChar w:fldCharType="end"/>
            </w:r>
          </w:hyperlink>
        </w:p>
        <w:p w14:paraId="3F3D6153" w14:textId="292CCE4F" w:rsidR="00EF498D" w:rsidRDefault="00212440">
          <w:pPr>
            <w:pStyle w:val="TOC1"/>
            <w:rPr>
              <w:rFonts w:eastAsiaTheme="minorEastAsia"/>
              <w:noProof/>
              <w:lang w:eastAsia="en-AU"/>
            </w:rPr>
          </w:pPr>
          <w:hyperlink w:anchor="_Toc116988446" w:history="1">
            <w:r w:rsidR="00EF498D" w:rsidRPr="00813874">
              <w:rPr>
                <w:rStyle w:val="Hyperlink"/>
                <w:noProof/>
              </w:rPr>
              <w:t>6.</w:t>
            </w:r>
            <w:r w:rsidR="00EF498D">
              <w:rPr>
                <w:rFonts w:eastAsiaTheme="minorEastAsia"/>
                <w:noProof/>
                <w:lang w:eastAsia="en-AU"/>
              </w:rPr>
              <w:tab/>
            </w:r>
            <w:r w:rsidR="00EF498D" w:rsidRPr="00813874">
              <w:rPr>
                <w:rStyle w:val="Hyperlink"/>
                <w:noProof/>
              </w:rPr>
              <w:t>Benchmarking of DairyBase results</w:t>
            </w:r>
            <w:r w:rsidR="00EF498D">
              <w:rPr>
                <w:noProof/>
                <w:webHidden/>
              </w:rPr>
              <w:tab/>
            </w:r>
            <w:r w:rsidR="00EF498D">
              <w:rPr>
                <w:noProof/>
                <w:webHidden/>
              </w:rPr>
              <w:fldChar w:fldCharType="begin"/>
            </w:r>
            <w:r w:rsidR="00EF498D">
              <w:rPr>
                <w:noProof/>
                <w:webHidden/>
              </w:rPr>
              <w:instrText xml:space="preserve"> PAGEREF _Toc116988446 \h </w:instrText>
            </w:r>
            <w:r w:rsidR="00EF498D">
              <w:rPr>
                <w:noProof/>
                <w:webHidden/>
              </w:rPr>
            </w:r>
            <w:r w:rsidR="00EF498D">
              <w:rPr>
                <w:noProof/>
                <w:webHidden/>
              </w:rPr>
              <w:fldChar w:fldCharType="separate"/>
            </w:r>
            <w:r w:rsidR="00EF498D">
              <w:rPr>
                <w:noProof/>
                <w:webHidden/>
              </w:rPr>
              <w:t>10</w:t>
            </w:r>
            <w:r w:rsidR="00EF498D">
              <w:rPr>
                <w:noProof/>
                <w:webHidden/>
              </w:rPr>
              <w:fldChar w:fldCharType="end"/>
            </w:r>
          </w:hyperlink>
        </w:p>
        <w:p w14:paraId="30CB7C81" w14:textId="27562FBE" w:rsidR="00EF498D" w:rsidRDefault="00212440">
          <w:pPr>
            <w:pStyle w:val="TOC1"/>
            <w:rPr>
              <w:rFonts w:eastAsiaTheme="minorEastAsia"/>
              <w:noProof/>
              <w:lang w:eastAsia="en-AU"/>
            </w:rPr>
          </w:pPr>
          <w:hyperlink w:anchor="_Toc116988447" w:history="1">
            <w:r w:rsidR="00EF498D" w:rsidRPr="00813874">
              <w:rPr>
                <w:rStyle w:val="Hyperlink"/>
                <w:noProof/>
              </w:rPr>
              <w:t>8.</w:t>
            </w:r>
            <w:r w:rsidR="00EF498D">
              <w:rPr>
                <w:rFonts w:eastAsiaTheme="minorEastAsia"/>
                <w:noProof/>
                <w:lang w:eastAsia="en-AU"/>
              </w:rPr>
              <w:tab/>
            </w:r>
            <w:r w:rsidR="00EF498D" w:rsidRPr="00813874">
              <w:rPr>
                <w:rStyle w:val="Hyperlink"/>
                <w:noProof/>
              </w:rPr>
              <w:t>Resources</w:t>
            </w:r>
            <w:r w:rsidR="00EF498D">
              <w:rPr>
                <w:noProof/>
                <w:webHidden/>
              </w:rPr>
              <w:tab/>
            </w:r>
            <w:r w:rsidR="00EF498D">
              <w:rPr>
                <w:noProof/>
                <w:webHidden/>
              </w:rPr>
              <w:fldChar w:fldCharType="begin"/>
            </w:r>
            <w:r w:rsidR="00EF498D">
              <w:rPr>
                <w:noProof/>
                <w:webHidden/>
              </w:rPr>
              <w:instrText xml:space="preserve"> PAGEREF _Toc116988447 \h </w:instrText>
            </w:r>
            <w:r w:rsidR="00EF498D">
              <w:rPr>
                <w:noProof/>
                <w:webHidden/>
              </w:rPr>
            </w:r>
            <w:r w:rsidR="00EF498D">
              <w:rPr>
                <w:noProof/>
                <w:webHidden/>
              </w:rPr>
              <w:fldChar w:fldCharType="separate"/>
            </w:r>
            <w:r w:rsidR="00EF498D">
              <w:rPr>
                <w:noProof/>
                <w:webHidden/>
              </w:rPr>
              <w:t>19</w:t>
            </w:r>
            <w:r w:rsidR="00EF498D">
              <w:rPr>
                <w:noProof/>
                <w:webHidden/>
              </w:rPr>
              <w:fldChar w:fldCharType="end"/>
            </w:r>
          </w:hyperlink>
        </w:p>
        <w:p w14:paraId="0974220E" w14:textId="2A471DE8" w:rsidR="00EF498D" w:rsidRDefault="00212440">
          <w:pPr>
            <w:pStyle w:val="TOC1"/>
            <w:rPr>
              <w:rFonts w:eastAsiaTheme="minorEastAsia"/>
              <w:noProof/>
              <w:lang w:eastAsia="en-AU"/>
            </w:rPr>
          </w:pPr>
          <w:hyperlink w:anchor="_Toc116988448" w:history="1">
            <w:r w:rsidR="00EF498D" w:rsidRPr="00813874">
              <w:rPr>
                <w:rStyle w:val="Hyperlink"/>
                <w:noProof/>
              </w:rPr>
              <w:t>9.</w:t>
            </w:r>
            <w:r w:rsidR="00EF498D">
              <w:rPr>
                <w:rFonts w:eastAsiaTheme="minorEastAsia"/>
                <w:noProof/>
                <w:lang w:eastAsia="en-AU"/>
              </w:rPr>
              <w:tab/>
            </w:r>
            <w:r w:rsidR="00EF498D" w:rsidRPr="00813874">
              <w:rPr>
                <w:rStyle w:val="Hyperlink"/>
                <w:noProof/>
              </w:rPr>
              <w:t>References</w:t>
            </w:r>
            <w:r w:rsidR="00EF498D">
              <w:rPr>
                <w:noProof/>
                <w:webHidden/>
              </w:rPr>
              <w:tab/>
            </w:r>
            <w:r w:rsidR="00EF498D">
              <w:rPr>
                <w:noProof/>
                <w:webHidden/>
              </w:rPr>
              <w:fldChar w:fldCharType="begin"/>
            </w:r>
            <w:r w:rsidR="00EF498D">
              <w:rPr>
                <w:noProof/>
                <w:webHidden/>
              </w:rPr>
              <w:instrText xml:space="preserve"> PAGEREF _Toc116988448 \h </w:instrText>
            </w:r>
            <w:r w:rsidR="00EF498D">
              <w:rPr>
                <w:noProof/>
                <w:webHidden/>
              </w:rPr>
            </w:r>
            <w:r w:rsidR="00EF498D">
              <w:rPr>
                <w:noProof/>
                <w:webHidden/>
              </w:rPr>
              <w:fldChar w:fldCharType="separate"/>
            </w:r>
            <w:r w:rsidR="00EF498D">
              <w:rPr>
                <w:noProof/>
                <w:webHidden/>
              </w:rPr>
              <w:t>21</w:t>
            </w:r>
            <w:r w:rsidR="00EF498D">
              <w:rPr>
                <w:noProof/>
                <w:webHidden/>
              </w:rPr>
              <w:fldChar w:fldCharType="end"/>
            </w:r>
          </w:hyperlink>
        </w:p>
        <w:p w14:paraId="474B279C" w14:textId="51E19E58" w:rsidR="00EF498D" w:rsidRDefault="00212440">
          <w:pPr>
            <w:pStyle w:val="TOC1"/>
            <w:rPr>
              <w:rFonts w:eastAsiaTheme="minorEastAsia"/>
              <w:noProof/>
              <w:lang w:eastAsia="en-AU"/>
            </w:rPr>
          </w:pPr>
          <w:hyperlink w:anchor="_Toc116988449" w:history="1">
            <w:r w:rsidR="00EF498D" w:rsidRPr="00813874">
              <w:rPr>
                <w:rStyle w:val="Hyperlink"/>
                <w:noProof/>
              </w:rPr>
              <w:t>10.</w:t>
            </w:r>
            <w:r w:rsidR="00EF498D">
              <w:rPr>
                <w:rFonts w:eastAsiaTheme="minorEastAsia"/>
                <w:noProof/>
                <w:lang w:eastAsia="en-AU"/>
              </w:rPr>
              <w:tab/>
            </w:r>
            <w:r w:rsidR="00EF498D" w:rsidRPr="00813874">
              <w:rPr>
                <w:rStyle w:val="Hyperlink"/>
                <w:noProof/>
              </w:rPr>
              <w:t>Appendices</w:t>
            </w:r>
            <w:r w:rsidR="00EF498D">
              <w:rPr>
                <w:noProof/>
                <w:webHidden/>
              </w:rPr>
              <w:tab/>
            </w:r>
            <w:r w:rsidR="00EF498D">
              <w:rPr>
                <w:noProof/>
                <w:webHidden/>
              </w:rPr>
              <w:fldChar w:fldCharType="begin"/>
            </w:r>
            <w:r w:rsidR="00EF498D">
              <w:rPr>
                <w:noProof/>
                <w:webHidden/>
              </w:rPr>
              <w:instrText xml:space="preserve"> PAGEREF _Toc116988449 \h </w:instrText>
            </w:r>
            <w:r w:rsidR="00EF498D">
              <w:rPr>
                <w:noProof/>
                <w:webHidden/>
              </w:rPr>
            </w:r>
            <w:r w:rsidR="00EF498D">
              <w:rPr>
                <w:noProof/>
                <w:webHidden/>
              </w:rPr>
              <w:fldChar w:fldCharType="separate"/>
            </w:r>
            <w:r w:rsidR="00EF498D">
              <w:rPr>
                <w:noProof/>
                <w:webHidden/>
              </w:rPr>
              <w:t>24</w:t>
            </w:r>
            <w:r w:rsidR="00EF498D">
              <w:rPr>
                <w:noProof/>
                <w:webHidden/>
              </w:rPr>
              <w:fldChar w:fldCharType="end"/>
            </w:r>
          </w:hyperlink>
        </w:p>
        <w:p w14:paraId="3D7B9FBA" w14:textId="293B722D" w:rsidR="007C0B4A" w:rsidRDefault="007C0B4A" w:rsidP="00194937">
          <w:pPr>
            <w:spacing w:before="160" w:line="276" w:lineRule="auto"/>
          </w:pPr>
          <w:r>
            <w:rPr>
              <w:b/>
              <w:bCs/>
              <w:noProof/>
            </w:rPr>
            <w:fldChar w:fldCharType="end"/>
          </w:r>
        </w:p>
      </w:sdtContent>
    </w:sdt>
    <w:p w14:paraId="3532454D" w14:textId="77777777" w:rsidR="00A67663" w:rsidRDefault="00A67663" w:rsidP="00194937">
      <w:pPr>
        <w:pStyle w:val="Heading1"/>
        <w:numPr>
          <w:ilvl w:val="0"/>
          <w:numId w:val="4"/>
        </w:numPr>
        <w:spacing w:before="160" w:after="160" w:line="276" w:lineRule="auto"/>
        <w:sectPr w:rsidR="00A67663" w:rsidSect="00D25099">
          <w:pgSz w:w="11906" w:h="16838" w:code="9"/>
          <w:pgMar w:top="1440" w:right="1440" w:bottom="1440" w:left="1440" w:header="709" w:footer="709" w:gutter="0"/>
          <w:cols w:space="708"/>
          <w:docGrid w:linePitch="360"/>
        </w:sectPr>
      </w:pPr>
    </w:p>
    <w:p w14:paraId="6198F2E9" w14:textId="63F0BAF4" w:rsidR="00133344" w:rsidRDefault="00133344" w:rsidP="00194937">
      <w:pPr>
        <w:pStyle w:val="Heading1"/>
        <w:numPr>
          <w:ilvl w:val="0"/>
          <w:numId w:val="4"/>
        </w:numPr>
        <w:spacing w:before="160" w:after="160" w:line="276" w:lineRule="auto"/>
        <w:ind w:left="567" w:hanging="567"/>
      </w:pPr>
      <w:bookmarkStart w:id="1" w:name="_Toc116988444"/>
      <w:r>
        <w:lastRenderedPageBreak/>
        <w:t xml:space="preserve">Australian Dairy Carbon Calculator </w:t>
      </w:r>
      <w:r w:rsidR="003E7FA1">
        <w:t>Manual</w:t>
      </w:r>
      <w:bookmarkEnd w:id="1"/>
    </w:p>
    <w:p w14:paraId="7CD65166" w14:textId="77777777" w:rsidR="007B5D93" w:rsidRDefault="007B5D93" w:rsidP="007B5D93">
      <w:pPr>
        <w:spacing w:before="160" w:line="276" w:lineRule="auto"/>
      </w:pPr>
      <w:r>
        <w:t xml:space="preserve">The Australian Dairy Carbon Calculator manual contains four theme areas: </w:t>
      </w:r>
    </w:p>
    <w:p w14:paraId="44FDB37C" w14:textId="77777777" w:rsidR="007B5D93" w:rsidRDefault="007B5D93" w:rsidP="007B5D93">
      <w:pPr>
        <w:pStyle w:val="ListParagraph"/>
        <w:numPr>
          <w:ilvl w:val="0"/>
          <w:numId w:val="32"/>
        </w:numPr>
        <w:spacing w:before="160" w:line="276" w:lineRule="auto"/>
        <w:rPr>
          <w:rFonts w:eastAsia="Times New Roman"/>
        </w:rPr>
      </w:pPr>
      <w:r>
        <w:rPr>
          <w:rFonts w:eastAsia="Times New Roman"/>
        </w:rPr>
        <w:t>Carbon accounting (sections 1-4),</w:t>
      </w:r>
    </w:p>
    <w:p w14:paraId="53DB7895" w14:textId="77777777" w:rsidR="007B5D93" w:rsidRDefault="007B5D93" w:rsidP="007B5D93">
      <w:pPr>
        <w:pStyle w:val="ListParagraph"/>
        <w:numPr>
          <w:ilvl w:val="0"/>
          <w:numId w:val="32"/>
        </w:numPr>
        <w:spacing w:before="160" w:line="276" w:lineRule="auto"/>
        <w:rPr>
          <w:rFonts w:eastAsia="Times New Roman"/>
        </w:rPr>
      </w:pPr>
      <w:r>
        <w:rPr>
          <w:rFonts w:eastAsia="Times New Roman"/>
        </w:rPr>
        <w:t>Australian Dairy Carbon Calculator (section 5),</w:t>
      </w:r>
    </w:p>
    <w:p w14:paraId="25ADD27C" w14:textId="77777777" w:rsidR="007B5D93" w:rsidRDefault="007B5D93" w:rsidP="007B5D93">
      <w:pPr>
        <w:pStyle w:val="ListParagraph"/>
        <w:numPr>
          <w:ilvl w:val="0"/>
          <w:numId w:val="32"/>
        </w:numPr>
        <w:spacing w:before="160" w:line="276" w:lineRule="auto"/>
        <w:rPr>
          <w:rFonts w:eastAsia="Times New Roman"/>
        </w:rPr>
      </w:pPr>
      <w:r>
        <w:rPr>
          <w:rFonts w:eastAsia="Times New Roman"/>
        </w:rPr>
        <w:t xml:space="preserve">Benchmarking of Dairy Farm Monitor Project data (section 6), and </w:t>
      </w:r>
    </w:p>
    <w:p w14:paraId="1870972C" w14:textId="77777777" w:rsidR="007B5D93" w:rsidRDefault="007B5D93" w:rsidP="007B5D93">
      <w:pPr>
        <w:pStyle w:val="ListParagraph"/>
        <w:numPr>
          <w:ilvl w:val="0"/>
          <w:numId w:val="32"/>
        </w:numPr>
        <w:spacing w:before="160" w:line="276" w:lineRule="auto"/>
      </w:pPr>
      <w:r>
        <w:rPr>
          <w:rFonts w:eastAsia="Times New Roman"/>
        </w:rPr>
        <w:t>GHG adaptation options explored in the Carbon Offset Scenario Tool (section 7)</w:t>
      </w:r>
    </w:p>
    <w:p w14:paraId="0AB45BD9" w14:textId="1F00DE08" w:rsidR="004B1B34" w:rsidRDefault="007B5D93" w:rsidP="004B1B34">
      <w:r>
        <w:t>This version of the manual only contains the Benchmarking of Dairy Farm Monitor Project data (section 6) along with the Glossary and commonly used acronyms</w:t>
      </w:r>
      <w:r w:rsidR="004331FB">
        <w:t xml:space="preserve"> (section 2)</w:t>
      </w:r>
      <w:r>
        <w:t>, full listing of resources</w:t>
      </w:r>
      <w:r w:rsidR="00D71574">
        <w:t xml:space="preserve"> and appropriate </w:t>
      </w:r>
      <w:r w:rsidR="006F5963">
        <w:t>appendices (sections 8</w:t>
      </w:r>
      <w:r w:rsidR="00D71574">
        <w:t xml:space="preserve"> and </w:t>
      </w:r>
      <w:r w:rsidR="006F5963">
        <w:t xml:space="preserve">10). </w:t>
      </w:r>
      <w:r w:rsidR="004B1B34">
        <w:t xml:space="preserve">If you wish to access all or some of the other sections of the ADCC manual, you can find these on the Dairy Australia website. Note the Table and Figure numbers in this section match those of the full manual; they have not recommenced as Table or Figure 1. </w:t>
      </w:r>
    </w:p>
    <w:p w14:paraId="7047FB89" w14:textId="4434437D" w:rsidR="002B1109" w:rsidRDefault="002B1109" w:rsidP="004B1B34"/>
    <w:p w14:paraId="134F4FCF" w14:textId="64B571BE" w:rsidR="001501F7" w:rsidRDefault="001501F7" w:rsidP="00194937">
      <w:pPr>
        <w:spacing w:before="160" w:line="276" w:lineRule="auto"/>
      </w:pPr>
    </w:p>
    <w:p w14:paraId="79B69FF4" w14:textId="77777777" w:rsidR="007C0B4A" w:rsidRDefault="007C0B4A" w:rsidP="00194937">
      <w:pPr>
        <w:pStyle w:val="Heading2"/>
        <w:spacing w:before="160" w:after="160" w:line="276" w:lineRule="auto"/>
        <w:sectPr w:rsidR="007C0B4A">
          <w:pgSz w:w="11906" w:h="16838"/>
          <w:pgMar w:top="1440" w:right="1440" w:bottom="1440" w:left="1440" w:header="708" w:footer="708" w:gutter="0"/>
          <w:cols w:space="708"/>
          <w:docGrid w:linePitch="360"/>
        </w:sectPr>
      </w:pPr>
    </w:p>
    <w:p w14:paraId="1FD9730C" w14:textId="7A628F7C" w:rsidR="001501F7" w:rsidRDefault="001501F7" w:rsidP="00194937">
      <w:pPr>
        <w:pStyle w:val="Heading1"/>
        <w:numPr>
          <w:ilvl w:val="0"/>
          <w:numId w:val="4"/>
        </w:numPr>
        <w:spacing w:before="160" w:after="160" w:line="276" w:lineRule="auto"/>
        <w:ind w:left="567" w:hanging="567"/>
      </w:pPr>
      <w:bookmarkStart w:id="2" w:name="_Toc116988445"/>
      <w:r>
        <w:lastRenderedPageBreak/>
        <w:t>Glossary</w:t>
      </w:r>
      <w:r w:rsidR="0062502B">
        <w:t xml:space="preserve"> and commonly used acronyms</w:t>
      </w:r>
      <w:bookmarkEnd w:id="2"/>
    </w:p>
    <w:tbl>
      <w:tblPr>
        <w:tblStyle w:val="ListTable4-Accent6"/>
        <w:tblW w:w="9067" w:type="dxa"/>
        <w:tblLook w:val="04A0" w:firstRow="1" w:lastRow="0" w:firstColumn="1" w:lastColumn="0" w:noHBand="0" w:noVBand="1"/>
      </w:tblPr>
      <w:tblGrid>
        <w:gridCol w:w="2122"/>
        <w:gridCol w:w="6945"/>
      </w:tblGrid>
      <w:tr w:rsidR="001E3484" w14:paraId="4363423B" w14:textId="77777777" w:rsidTr="001E3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372387" w14:textId="082225E1" w:rsidR="001E3484" w:rsidRDefault="001E3484" w:rsidP="00194937">
            <w:pPr>
              <w:spacing w:before="160" w:after="160" w:line="276" w:lineRule="auto"/>
            </w:pPr>
          </w:p>
        </w:tc>
        <w:tc>
          <w:tcPr>
            <w:tcW w:w="6945" w:type="dxa"/>
          </w:tcPr>
          <w:p w14:paraId="7C5AD326" w14:textId="77777777" w:rsidR="001E3484" w:rsidRDefault="001E3484" w:rsidP="00194937">
            <w:pPr>
              <w:spacing w:before="160" w:after="160" w:line="276" w:lineRule="auto"/>
              <w:cnfStyle w:val="100000000000" w:firstRow="1" w:lastRow="0" w:firstColumn="0" w:lastColumn="0" w:oddVBand="0" w:evenVBand="0" w:oddHBand="0" w:evenHBand="0" w:firstRowFirstColumn="0" w:firstRowLastColumn="0" w:lastRowFirstColumn="0" w:lastRowLastColumn="0"/>
            </w:pPr>
          </w:p>
        </w:tc>
      </w:tr>
      <w:tr w:rsidR="0086130D" w14:paraId="56EF4571"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390728" w14:textId="777F6C36" w:rsidR="0086130D" w:rsidRPr="00894AFB" w:rsidRDefault="0086130D" w:rsidP="00194937">
            <w:pPr>
              <w:spacing w:before="160" w:after="160" w:line="276" w:lineRule="auto"/>
            </w:pPr>
            <w:r>
              <w:t>3-NOP</w:t>
            </w:r>
          </w:p>
        </w:tc>
        <w:tc>
          <w:tcPr>
            <w:tcW w:w="6945" w:type="dxa"/>
          </w:tcPr>
          <w:p w14:paraId="08D46339" w14:textId="4B2AB459" w:rsidR="0086130D" w:rsidRDefault="0086130D"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3-nitrooxypropanol</w:t>
            </w:r>
            <w:r w:rsidR="00544C1D">
              <w:t xml:space="preserve"> trading as </w:t>
            </w:r>
            <w:proofErr w:type="spellStart"/>
            <w:r>
              <w:t>Bov</w:t>
            </w:r>
            <w:r w:rsidR="001C57BB">
              <w:t>aer</w:t>
            </w:r>
            <w:proofErr w:type="spellEnd"/>
            <w:r w:rsidR="001C57BB">
              <w:rPr>
                <w:rFonts w:cstheme="minorHAnsi"/>
              </w:rPr>
              <w:t>®</w:t>
            </w:r>
          </w:p>
        </w:tc>
      </w:tr>
      <w:tr w:rsidR="004E60C3" w14:paraId="257A6F60"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F6F3802" w14:textId="4EC7575B" w:rsidR="004E60C3" w:rsidRPr="00894AFB" w:rsidRDefault="004E60C3" w:rsidP="00194937">
            <w:pPr>
              <w:spacing w:before="160" w:line="276" w:lineRule="auto"/>
            </w:pPr>
            <w:r>
              <w:t>Abatement</w:t>
            </w:r>
          </w:p>
        </w:tc>
        <w:tc>
          <w:tcPr>
            <w:tcW w:w="6945" w:type="dxa"/>
          </w:tcPr>
          <w:p w14:paraId="78C48049" w14:textId="0FC6E951" w:rsidR="004E60C3" w:rsidRDefault="00ED0129" w:rsidP="00194937">
            <w:pPr>
              <w:spacing w:before="160" w:line="276" w:lineRule="auto"/>
              <w:cnfStyle w:val="000000000000" w:firstRow="0" w:lastRow="0" w:firstColumn="0" w:lastColumn="0" w:oddVBand="0" w:evenVBand="0" w:oddHBand="0" w:evenHBand="0" w:firstRowFirstColumn="0" w:firstRowLastColumn="0" w:lastRowFirstColumn="0" w:lastRowLastColumn="0"/>
            </w:pPr>
            <w:r>
              <w:t>Strategy to reduce net GHG emissions</w:t>
            </w:r>
          </w:p>
        </w:tc>
      </w:tr>
      <w:tr w:rsidR="00EA05A6" w14:paraId="7A22C14C"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C0C34C" w14:textId="48CA3986" w:rsidR="00EA05A6" w:rsidRDefault="00EA05A6" w:rsidP="00194937">
            <w:pPr>
              <w:spacing w:before="160" w:after="160" w:line="276" w:lineRule="auto"/>
            </w:pPr>
            <w:r w:rsidRPr="00894AFB">
              <w:t>ADCC</w:t>
            </w:r>
          </w:p>
        </w:tc>
        <w:tc>
          <w:tcPr>
            <w:tcW w:w="6945" w:type="dxa"/>
          </w:tcPr>
          <w:p w14:paraId="6410F8B9" w14:textId="5F1DF7D3"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Australian Dairy Carbon Calculator</w:t>
            </w:r>
          </w:p>
        </w:tc>
      </w:tr>
      <w:tr w:rsidR="008D6F02" w14:paraId="4DB6F6DF"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483D929" w14:textId="78EDEE2E" w:rsidR="008D6F02" w:rsidRPr="00894AFB" w:rsidRDefault="008D6F02" w:rsidP="00194937">
            <w:pPr>
              <w:spacing w:before="160" w:after="160" w:line="276" w:lineRule="auto"/>
            </w:pPr>
            <w:r>
              <w:t>Allocation</w:t>
            </w:r>
          </w:p>
        </w:tc>
        <w:tc>
          <w:tcPr>
            <w:tcW w:w="6945" w:type="dxa"/>
          </w:tcPr>
          <w:p w14:paraId="112EDBE7" w14:textId="0ED34BA3" w:rsidR="008D6F02" w:rsidRPr="00894AFB" w:rsidRDefault="008D6F02"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Dairy farms produce milk and meat</w:t>
            </w:r>
            <w:r w:rsidR="00F25E1B">
              <w:t xml:space="preserve">. ADCC allocates net GHG emissions, based on </w:t>
            </w:r>
            <w:r w:rsidR="00E422F6">
              <w:t xml:space="preserve">an energy </w:t>
            </w:r>
            <w:r w:rsidR="00F25E1B">
              <w:t>allocation method</w:t>
            </w:r>
            <w:r w:rsidR="00B046E6">
              <w:t>, to milk and meat</w:t>
            </w:r>
          </w:p>
        </w:tc>
      </w:tr>
      <w:tr w:rsidR="00415108" w14:paraId="136DE667"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E5482D" w14:textId="0489A528" w:rsidR="00415108" w:rsidRPr="00894AFB" w:rsidRDefault="00415108" w:rsidP="00194937">
            <w:pPr>
              <w:spacing w:before="160" w:after="160" w:line="276" w:lineRule="auto"/>
            </w:pPr>
            <w:r>
              <w:t>Anthropogenic</w:t>
            </w:r>
          </w:p>
        </w:tc>
        <w:tc>
          <w:tcPr>
            <w:tcW w:w="6945" w:type="dxa"/>
          </w:tcPr>
          <w:p w14:paraId="400ED0D2" w14:textId="5E0189AD" w:rsidR="00415108" w:rsidRPr="00894AFB" w:rsidRDefault="00215248"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GHG emissions caused or influenced by people, either directly or indirectly</w:t>
            </w:r>
          </w:p>
        </w:tc>
      </w:tr>
      <w:tr w:rsidR="00602444" w14:paraId="63798540"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264DC15D" w14:textId="16EF4B58" w:rsidR="00602444" w:rsidRPr="00894AFB" w:rsidRDefault="00602444" w:rsidP="00194937">
            <w:pPr>
              <w:spacing w:before="160" w:line="276" w:lineRule="auto"/>
            </w:pPr>
            <w:r>
              <w:t>AR4</w:t>
            </w:r>
          </w:p>
        </w:tc>
        <w:tc>
          <w:tcPr>
            <w:tcW w:w="6945" w:type="dxa"/>
          </w:tcPr>
          <w:p w14:paraId="0FFFCD74" w14:textId="46B6CB65" w:rsidR="00602444" w:rsidRPr="00894AFB" w:rsidRDefault="00602444" w:rsidP="00194937">
            <w:pPr>
              <w:spacing w:before="160" w:line="276" w:lineRule="auto"/>
              <w:cnfStyle w:val="000000000000" w:firstRow="0" w:lastRow="0" w:firstColumn="0" w:lastColumn="0" w:oddVBand="0" w:evenVBand="0" w:oddHBand="0" w:evenHBand="0" w:firstRowFirstColumn="0" w:firstRowLastColumn="0" w:lastRowFirstColumn="0" w:lastRowLastColumn="0"/>
            </w:pPr>
            <w:r>
              <w:t xml:space="preserve">IPCC </w:t>
            </w:r>
            <w:r w:rsidR="004E0E76">
              <w:t>Fourth Assessment Report</w:t>
            </w:r>
          </w:p>
        </w:tc>
      </w:tr>
      <w:tr w:rsidR="00602444" w14:paraId="493B6770"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72C33C" w14:textId="3D029599" w:rsidR="00602444" w:rsidRPr="00894AFB" w:rsidRDefault="004E0E76" w:rsidP="00194937">
            <w:pPr>
              <w:spacing w:before="160" w:line="276" w:lineRule="auto"/>
            </w:pPr>
            <w:r>
              <w:t>AR5</w:t>
            </w:r>
          </w:p>
        </w:tc>
        <w:tc>
          <w:tcPr>
            <w:tcW w:w="6945" w:type="dxa"/>
          </w:tcPr>
          <w:p w14:paraId="00B8B66F" w14:textId="0D17B4AC" w:rsidR="00602444" w:rsidRPr="00894AFB" w:rsidRDefault="004E0E76" w:rsidP="00194937">
            <w:pPr>
              <w:spacing w:before="160" w:line="276" w:lineRule="auto"/>
              <w:cnfStyle w:val="000000100000" w:firstRow="0" w:lastRow="0" w:firstColumn="0" w:lastColumn="0" w:oddVBand="0" w:evenVBand="0" w:oddHBand="1" w:evenHBand="0" w:firstRowFirstColumn="0" w:firstRowLastColumn="0" w:lastRowFirstColumn="0" w:lastRowLastColumn="0"/>
            </w:pPr>
            <w:r>
              <w:t>IPCC Fifth Assessment Report</w:t>
            </w:r>
          </w:p>
        </w:tc>
      </w:tr>
      <w:tr w:rsidR="00EA05A6" w14:paraId="2CEBDEEE"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225E76A0" w14:textId="110DA911" w:rsidR="00EA05A6" w:rsidRDefault="00EA05A6" w:rsidP="00194937">
            <w:pPr>
              <w:spacing w:before="160" w:after="160" w:line="276" w:lineRule="auto"/>
            </w:pPr>
            <w:r w:rsidRPr="00894AFB">
              <w:t>Benchmarking</w:t>
            </w:r>
          </w:p>
        </w:tc>
        <w:tc>
          <w:tcPr>
            <w:tcW w:w="6945" w:type="dxa"/>
          </w:tcPr>
          <w:p w14:paraId="1CF98EE6" w14:textId="437F1749"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894AFB">
              <w:t>Comparing the performance of the enterprise against the rest of the industry</w:t>
            </w:r>
          </w:p>
        </w:tc>
      </w:tr>
      <w:tr w:rsidR="00EA05A6" w14:paraId="031F41AA"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D40DF9" w14:textId="0A94B344" w:rsidR="00EA05A6" w:rsidRDefault="00EA05A6" w:rsidP="00194937">
            <w:pPr>
              <w:spacing w:before="160" w:after="160" w:line="276" w:lineRule="auto"/>
            </w:pPr>
            <w:r w:rsidRPr="00955168">
              <w:t>Carbon accounting</w:t>
            </w:r>
          </w:p>
        </w:tc>
        <w:tc>
          <w:tcPr>
            <w:tcW w:w="6945" w:type="dxa"/>
          </w:tcPr>
          <w:p w14:paraId="35290E88" w14:textId="21AD338D"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 xml:space="preserve">The process used to qualify greenhouse gas (GHG) emissions </w:t>
            </w:r>
            <w:r w:rsidR="00D34F1A">
              <w:t>of</w:t>
            </w:r>
            <w:r w:rsidRPr="00955168">
              <w:t xml:space="preserve"> an enterprise</w:t>
            </w:r>
          </w:p>
        </w:tc>
      </w:tr>
      <w:tr w:rsidR="00EA05A6" w14:paraId="1A2EF6A9"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126CA75" w14:textId="7B88DC5D" w:rsidR="00EA05A6" w:rsidRDefault="00EA05A6" w:rsidP="00194937">
            <w:pPr>
              <w:spacing w:before="160" w:after="160" w:line="276" w:lineRule="auto"/>
            </w:pPr>
            <w:r w:rsidRPr="00955168">
              <w:t>Carbon flux</w:t>
            </w:r>
          </w:p>
        </w:tc>
        <w:tc>
          <w:tcPr>
            <w:tcW w:w="6945" w:type="dxa"/>
          </w:tcPr>
          <w:p w14:paraId="2831D116" w14:textId="2FF8F383"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955168">
              <w:t xml:space="preserve">The change in carbon stocks stored in sinks over a duration, usually </w:t>
            </w:r>
            <w:r w:rsidR="003D7F5D">
              <w:t>a yearly basis</w:t>
            </w:r>
          </w:p>
        </w:tc>
      </w:tr>
      <w:tr w:rsidR="00EA05A6" w14:paraId="49483585"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6B977AE" w14:textId="1F1FD8A0" w:rsidR="00EA05A6" w:rsidRDefault="00EA05A6" w:rsidP="00194937">
            <w:pPr>
              <w:spacing w:before="160" w:after="160" w:line="276" w:lineRule="auto"/>
            </w:pPr>
            <w:r w:rsidRPr="00955168">
              <w:t>Carbon footprint</w:t>
            </w:r>
          </w:p>
        </w:tc>
        <w:tc>
          <w:tcPr>
            <w:tcW w:w="6945" w:type="dxa"/>
          </w:tcPr>
          <w:p w14:paraId="64311039" w14:textId="096ECB2F"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Quantification of the GHG emissions emitted directly or indirectly by an individual, company</w:t>
            </w:r>
            <w:r w:rsidR="006749AF">
              <w:t>,</w:t>
            </w:r>
            <w:r w:rsidRPr="00955168">
              <w:t xml:space="preserve"> or product</w:t>
            </w:r>
          </w:p>
        </w:tc>
      </w:tr>
      <w:tr w:rsidR="00985314" w14:paraId="68E88853"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8969FDF" w14:textId="6B138070" w:rsidR="00985314" w:rsidRPr="00955168" w:rsidRDefault="00985314" w:rsidP="00194937">
            <w:pPr>
              <w:spacing w:before="160" w:after="160" w:line="276" w:lineRule="auto"/>
            </w:pPr>
            <w:r>
              <w:t>Ca</w:t>
            </w:r>
            <w:r w:rsidR="00283589">
              <w:t>rbon negative</w:t>
            </w:r>
            <w:r w:rsidR="00A24D24">
              <w:t>/</w:t>
            </w:r>
            <w:r w:rsidR="00283589">
              <w:t>carbon positive</w:t>
            </w:r>
          </w:p>
        </w:tc>
        <w:tc>
          <w:tcPr>
            <w:tcW w:w="6945" w:type="dxa"/>
          </w:tcPr>
          <w:p w14:paraId="157FF50C" w14:textId="69B3A848" w:rsidR="00985314" w:rsidRPr="00955168" w:rsidRDefault="00283589"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 xml:space="preserve">Condition in which net </w:t>
            </w:r>
            <w:r w:rsidR="00B14027">
              <w:t xml:space="preserve">carbon </w:t>
            </w:r>
            <w:r w:rsidR="00904808">
              <w:t>dioxide</w:t>
            </w:r>
            <w:r w:rsidR="0031559E">
              <w:t xml:space="preserve"> equivalent </w:t>
            </w:r>
            <w:r>
              <w:t xml:space="preserve">emissions are negative and positive, respectively. </w:t>
            </w:r>
            <w:r w:rsidR="003046B0">
              <w:t xml:space="preserve">However, these terms can be ambiguous and </w:t>
            </w:r>
            <w:r w:rsidR="0031559E">
              <w:t xml:space="preserve">are sometimes </w:t>
            </w:r>
            <w:r w:rsidR="003046B0">
              <w:t>used inconsistently</w:t>
            </w:r>
            <w:r w:rsidR="009951D8">
              <w:t>. Therefore, the dairy industry is moving away from the use of these terms</w:t>
            </w:r>
            <w:r w:rsidR="005C1A09">
              <w:t xml:space="preserve"> and referring to a farm as remaining</w:t>
            </w:r>
            <w:r w:rsidR="00E2179F">
              <w:t xml:space="preserve"> either </w:t>
            </w:r>
            <w:r w:rsidR="005C1A09">
              <w:t>an emitter of emissions (i.e.</w:t>
            </w:r>
            <w:r w:rsidR="00C45F7F">
              <w:t xml:space="preserve"> </w:t>
            </w:r>
            <w:r w:rsidR="005C1A09">
              <w:t xml:space="preserve">has not attained carbon neutrality/net zero), </w:t>
            </w:r>
            <w:r w:rsidR="008642D9">
              <w:t>as net zero (all emissions offset by carbon sequestration), or a beyond net zero (</w:t>
            </w:r>
            <w:r w:rsidR="000C3A01">
              <w:t>sequestering more carbon than emitting)</w:t>
            </w:r>
          </w:p>
        </w:tc>
      </w:tr>
      <w:tr w:rsidR="00EA05A6" w14:paraId="37E7B51F"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3A0ED9" w14:textId="080CC38A" w:rsidR="00EA05A6" w:rsidRDefault="00EA05A6" w:rsidP="00194937">
            <w:pPr>
              <w:spacing w:before="160" w:after="160" w:line="276" w:lineRule="auto"/>
            </w:pPr>
            <w:r w:rsidRPr="00955168">
              <w:t>Carbon neutrality</w:t>
            </w:r>
          </w:p>
        </w:tc>
        <w:tc>
          <w:tcPr>
            <w:tcW w:w="6945" w:type="dxa"/>
          </w:tcPr>
          <w:p w14:paraId="38588B60" w14:textId="6CB62799"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Net-zero GHG emissions</w:t>
            </w:r>
          </w:p>
        </w:tc>
      </w:tr>
      <w:tr w:rsidR="00EA05A6" w14:paraId="74E9FF86"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342127A1" w14:textId="5DE1F87D" w:rsidR="00EA05A6" w:rsidRDefault="00EA05A6" w:rsidP="00194937">
            <w:pPr>
              <w:spacing w:before="160" w:after="160" w:line="276" w:lineRule="auto"/>
            </w:pPr>
            <w:r w:rsidRPr="00955168">
              <w:t>Carbon sequestration</w:t>
            </w:r>
          </w:p>
        </w:tc>
        <w:tc>
          <w:tcPr>
            <w:tcW w:w="6945" w:type="dxa"/>
          </w:tcPr>
          <w:p w14:paraId="76FA21A7" w14:textId="4106BB30"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955168">
              <w:t>The process whereby carbon dioxide is removed from the atmosphere and stored in carbon sinks such as soils and vegetation</w:t>
            </w:r>
          </w:p>
        </w:tc>
      </w:tr>
      <w:tr w:rsidR="00EA05A6" w14:paraId="38CF3E3C"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AC7E1E" w14:textId="3A47E9DE" w:rsidR="00EA05A6" w:rsidRDefault="00EA05A6" w:rsidP="00194937">
            <w:pPr>
              <w:spacing w:before="160" w:after="160" w:line="276" w:lineRule="auto"/>
            </w:pPr>
            <w:r w:rsidRPr="00955168">
              <w:lastRenderedPageBreak/>
              <w:t>Carbon sink</w:t>
            </w:r>
          </w:p>
        </w:tc>
        <w:tc>
          <w:tcPr>
            <w:tcW w:w="6945" w:type="dxa"/>
          </w:tcPr>
          <w:p w14:paraId="0F6F384B" w14:textId="09692804"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 xml:space="preserve">A reservoir that absorbs carbon dioxide from the atmosphere. Natural carbon sinks include plants, </w:t>
            </w:r>
            <w:r w:rsidR="00A2752C" w:rsidRPr="00955168">
              <w:t>soils,</w:t>
            </w:r>
            <w:r w:rsidRPr="00955168">
              <w:t xml:space="preserve"> and oceans</w:t>
            </w:r>
          </w:p>
        </w:tc>
      </w:tr>
      <w:tr w:rsidR="00EA05A6" w14:paraId="31C952D4"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19344FD" w14:textId="03DAE392" w:rsidR="00EA05A6" w:rsidRDefault="00EA05A6" w:rsidP="00194937">
            <w:pPr>
              <w:spacing w:before="160" w:after="160" w:line="276" w:lineRule="auto"/>
            </w:pPr>
            <w:r w:rsidRPr="00955168">
              <w:t>Carbon stocks</w:t>
            </w:r>
          </w:p>
        </w:tc>
        <w:tc>
          <w:tcPr>
            <w:tcW w:w="6945" w:type="dxa"/>
          </w:tcPr>
          <w:p w14:paraId="09CA5270" w14:textId="0B0B602D" w:rsidR="00EA05A6" w:rsidRDefault="006749AF"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 xml:space="preserve">Carbon stocks </w:t>
            </w:r>
            <w:r w:rsidR="00EA05A6" w:rsidRPr="00955168">
              <w:t>refers to the quantity of carbon that has been sequestered from the atmosphere and is stored in a carbon sink</w:t>
            </w:r>
          </w:p>
        </w:tc>
      </w:tr>
      <w:tr w:rsidR="006D0872" w14:paraId="043C6C9C"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1D7103" w14:textId="421EEDEB" w:rsidR="006D0872" w:rsidRPr="00955168" w:rsidRDefault="006D0872" w:rsidP="00194937">
            <w:pPr>
              <w:spacing w:before="160" w:after="160" w:line="276" w:lineRule="auto"/>
            </w:pPr>
            <w:r>
              <w:t>CFI</w:t>
            </w:r>
          </w:p>
        </w:tc>
        <w:tc>
          <w:tcPr>
            <w:tcW w:w="6945" w:type="dxa"/>
          </w:tcPr>
          <w:p w14:paraId="51855C8D" w14:textId="4F9AC88B" w:rsidR="006D0872" w:rsidRPr="00955168" w:rsidRDefault="006D0872"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 xml:space="preserve">Carbon Farming Initiative; the </w:t>
            </w:r>
            <w:r w:rsidR="00845C9D">
              <w:t>original Federal government voluntary carbon credit scheme, later replaced with the ERF and subsequently the C</w:t>
            </w:r>
            <w:r w:rsidR="00D239A9">
              <w:t>SF</w:t>
            </w:r>
          </w:p>
        </w:tc>
      </w:tr>
      <w:tr w:rsidR="00EA05A6" w14:paraId="2723DAE8"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137B6094" w14:textId="1397B599" w:rsidR="00EA05A6" w:rsidRDefault="00EA05A6" w:rsidP="00194937">
            <w:pPr>
              <w:spacing w:before="160" w:after="160" w:line="276" w:lineRule="auto"/>
            </w:pPr>
            <w:r w:rsidRPr="00955168">
              <w:t>CH</w:t>
            </w:r>
            <w:r w:rsidRPr="00955168">
              <w:rPr>
                <w:vertAlign w:val="subscript"/>
              </w:rPr>
              <w:t>4</w:t>
            </w:r>
          </w:p>
        </w:tc>
        <w:tc>
          <w:tcPr>
            <w:tcW w:w="6945" w:type="dxa"/>
          </w:tcPr>
          <w:p w14:paraId="7F34C984" w14:textId="3E1E6428"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955168">
              <w:t>Methane</w:t>
            </w:r>
          </w:p>
        </w:tc>
      </w:tr>
      <w:tr w:rsidR="00EA05A6" w14:paraId="6C987B6B"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BC996D" w14:textId="2EF52780" w:rsidR="00EA05A6" w:rsidRDefault="00EA05A6" w:rsidP="00194937">
            <w:pPr>
              <w:spacing w:before="160" w:after="160" w:line="276" w:lineRule="auto"/>
            </w:pPr>
            <w:r w:rsidRPr="00955168">
              <w:t>CO</w:t>
            </w:r>
            <w:r w:rsidRPr="00955168">
              <w:rPr>
                <w:vertAlign w:val="subscript"/>
              </w:rPr>
              <w:t>2</w:t>
            </w:r>
          </w:p>
        </w:tc>
        <w:tc>
          <w:tcPr>
            <w:tcW w:w="6945" w:type="dxa"/>
          </w:tcPr>
          <w:p w14:paraId="7A56BCDE" w14:textId="0DF93298"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Carbon dioxide</w:t>
            </w:r>
          </w:p>
        </w:tc>
      </w:tr>
      <w:tr w:rsidR="00EA05A6" w14:paraId="01080FA2"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30C3B1EE" w14:textId="2C16A392" w:rsidR="00EA05A6" w:rsidRDefault="00EA05A6" w:rsidP="00194937">
            <w:pPr>
              <w:spacing w:before="160" w:after="160" w:line="276" w:lineRule="auto"/>
            </w:pPr>
            <w:r w:rsidRPr="00955168">
              <w:t>CO</w:t>
            </w:r>
            <w:r w:rsidRPr="00955168">
              <w:rPr>
                <w:vertAlign w:val="subscript"/>
              </w:rPr>
              <w:t>2</w:t>
            </w:r>
            <w:r w:rsidRPr="00955168">
              <w:t>e</w:t>
            </w:r>
          </w:p>
        </w:tc>
        <w:tc>
          <w:tcPr>
            <w:tcW w:w="6945" w:type="dxa"/>
          </w:tcPr>
          <w:p w14:paraId="5E8DCD41" w14:textId="3E8A2598"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955168">
              <w:t xml:space="preserve">Carbon dioxide equivalents </w:t>
            </w:r>
            <w:r w:rsidR="00C45AA1">
              <w:t>(</w:t>
            </w:r>
            <w:r w:rsidR="00C45AA1" w:rsidRPr="00955168">
              <w:t>CO</w:t>
            </w:r>
            <w:r w:rsidR="00C45AA1" w:rsidRPr="00955168">
              <w:rPr>
                <w:vertAlign w:val="subscript"/>
              </w:rPr>
              <w:t>2</w:t>
            </w:r>
            <w:r w:rsidR="00C45AA1" w:rsidRPr="00955168">
              <w:t>e</w:t>
            </w:r>
            <w:r w:rsidR="00C45AA1">
              <w:t xml:space="preserve">) </w:t>
            </w:r>
            <w:r w:rsidRPr="00955168">
              <w:t>are a unit used to compare emissions from different GHGs based on their global warming potential (GWP) over a specific timeframe, typically 100 years (GWP</w:t>
            </w:r>
            <w:r w:rsidRPr="00955168">
              <w:rPr>
                <w:vertAlign w:val="subscript"/>
              </w:rPr>
              <w:t>100</w:t>
            </w:r>
            <w:r w:rsidRPr="00955168">
              <w:t>)</w:t>
            </w:r>
          </w:p>
        </w:tc>
      </w:tr>
      <w:tr w:rsidR="009D3EC9" w14:paraId="05ED1F65"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334E66" w14:textId="1E67F74E" w:rsidR="009D3EC9" w:rsidRDefault="009D3EC9" w:rsidP="00194937">
            <w:pPr>
              <w:spacing w:before="160" w:line="276" w:lineRule="auto"/>
            </w:pPr>
            <w:r>
              <w:t>COST</w:t>
            </w:r>
          </w:p>
        </w:tc>
        <w:tc>
          <w:tcPr>
            <w:tcW w:w="6945" w:type="dxa"/>
          </w:tcPr>
          <w:p w14:paraId="7D537645" w14:textId="2415D040" w:rsidR="009D3EC9" w:rsidRDefault="009D3EC9" w:rsidP="00194937">
            <w:pPr>
              <w:spacing w:before="160" w:line="276" w:lineRule="auto"/>
              <w:cnfStyle w:val="000000100000" w:firstRow="0" w:lastRow="0" w:firstColumn="0" w:lastColumn="0" w:oddVBand="0" w:evenVBand="0" w:oddHBand="1" w:evenHBand="0" w:firstRowFirstColumn="0" w:firstRowLastColumn="0" w:lastRowFirstColumn="0" w:lastRowLastColumn="0"/>
            </w:pPr>
            <w:r>
              <w:t xml:space="preserve">Carbon Offset Scenario Tool, a series of mitigation </w:t>
            </w:r>
            <w:r w:rsidR="006B40C5">
              <w:t>options embedded within ADCC</w:t>
            </w:r>
          </w:p>
        </w:tc>
      </w:tr>
      <w:tr w:rsidR="006A3533" w14:paraId="072D0E57"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52B745F3" w14:textId="1EEB2A42" w:rsidR="006A3533" w:rsidRDefault="006A3533" w:rsidP="00194937">
            <w:pPr>
              <w:spacing w:before="160" w:line="276" w:lineRule="auto"/>
            </w:pPr>
            <w:r>
              <w:t>CP</w:t>
            </w:r>
          </w:p>
        </w:tc>
        <w:tc>
          <w:tcPr>
            <w:tcW w:w="6945" w:type="dxa"/>
          </w:tcPr>
          <w:p w14:paraId="5C0356FD" w14:textId="60B11D51" w:rsidR="006A3533" w:rsidRDefault="006A3533" w:rsidP="00194937">
            <w:pPr>
              <w:spacing w:before="160" w:line="276" w:lineRule="auto"/>
              <w:cnfStyle w:val="000000000000" w:firstRow="0" w:lastRow="0" w:firstColumn="0" w:lastColumn="0" w:oddVBand="0" w:evenVBand="0" w:oddHBand="0" w:evenHBand="0" w:firstRowFirstColumn="0" w:firstRowLastColumn="0" w:lastRowFirstColumn="0" w:lastRowLastColumn="0"/>
            </w:pPr>
            <w:r>
              <w:t>Crude protein</w:t>
            </w:r>
          </w:p>
        </w:tc>
      </w:tr>
      <w:tr w:rsidR="007477E5" w14:paraId="6DEBA1E0"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06E087A" w14:textId="72B3DED2" w:rsidR="007477E5" w:rsidRDefault="007477E5" w:rsidP="00194937">
            <w:pPr>
              <w:spacing w:before="160" w:after="160" w:line="276" w:lineRule="auto"/>
            </w:pPr>
            <w:r>
              <w:t>CSF</w:t>
            </w:r>
          </w:p>
        </w:tc>
        <w:tc>
          <w:tcPr>
            <w:tcW w:w="6945" w:type="dxa"/>
          </w:tcPr>
          <w:p w14:paraId="284804C4" w14:textId="000C5BBC" w:rsidR="007477E5" w:rsidRDefault="007477E5"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Climate Solutions Fund; the Australian Government’s most recent voluntary carbon credit scheme, formerly known as the CFI and subsequently the ERF</w:t>
            </w:r>
          </w:p>
        </w:tc>
      </w:tr>
      <w:tr w:rsidR="00905CD9" w14:paraId="5AB17188"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B17A6C9" w14:textId="6BA80897" w:rsidR="00905CD9" w:rsidRDefault="00905CD9" w:rsidP="00194937">
            <w:pPr>
              <w:spacing w:before="160" w:after="160" w:line="276" w:lineRule="auto"/>
            </w:pPr>
            <w:r>
              <w:t>DFMP</w:t>
            </w:r>
          </w:p>
        </w:tc>
        <w:tc>
          <w:tcPr>
            <w:tcW w:w="6945" w:type="dxa"/>
          </w:tcPr>
          <w:p w14:paraId="2566254B" w14:textId="05EA81B9" w:rsidR="00905CD9" w:rsidRDefault="00905CD9"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Dairy Farm Monitor Project</w:t>
            </w:r>
          </w:p>
        </w:tc>
      </w:tr>
      <w:tr w:rsidR="0062502B" w14:paraId="75F27655"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01135C2" w14:textId="57170D24" w:rsidR="0062502B" w:rsidRPr="00955168" w:rsidRDefault="0062502B" w:rsidP="00194937">
            <w:pPr>
              <w:spacing w:before="160" w:after="160" w:line="276" w:lineRule="auto"/>
            </w:pPr>
            <w:r>
              <w:t>DGAS</w:t>
            </w:r>
          </w:p>
        </w:tc>
        <w:tc>
          <w:tcPr>
            <w:tcW w:w="6945" w:type="dxa"/>
          </w:tcPr>
          <w:p w14:paraId="2F47F0ED" w14:textId="2D74E972" w:rsidR="0062502B" w:rsidRPr="00955168" w:rsidRDefault="0062502B"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Dairy Greenhouse gas Abatement Strategies calculator</w:t>
            </w:r>
            <w:r w:rsidR="009524B8">
              <w:t xml:space="preserve">, </w:t>
            </w:r>
            <w:r>
              <w:t>the original name for ADCC</w:t>
            </w:r>
          </w:p>
        </w:tc>
      </w:tr>
      <w:tr w:rsidR="006A3764" w14:paraId="63E1454A"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9486014" w14:textId="3510CB9E" w:rsidR="006A3764" w:rsidRPr="00955168" w:rsidRDefault="006A3764" w:rsidP="00194937">
            <w:pPr>
              <w:spacing w:before="160" w:line="276" w:lineRule="auto"/>
            </w:pPr>
            <w:r>
              <w:t>Direct N</w:t>
            </w:r>
            <w:r w:rsidRPr="000D43CE">
              <w:rPr>
                <w:vertAlign w:val="subscript"/>
              </w:rPr>
              <w:t>2</w:t>
            </w:r>
            <w:r>
              <w:t>O</w:t>
            </w:r>
          </w:p>
        </w:tc>
        <w:tc>
          <w:tcPr>
            <w:tcW w:w="6945" w:type="dxa"/>
          </w:tcPr>
          <w:p w14:paraId="789AC0BF" w14:textId="0D8190BA" w:rsidR="006A3764" w:rsidRDefault="006A3764" w:rsidP="00194937">
            <w:pPr>
              <w:spacing w:before="160" w:line="276" w:lineRule="auto"/>
              <w:cnfStyle w:val="000000000000" w:firstRow="0" w:lastRow="0" w:firstColumn="0" w:lastColumn="0" w:oddVBand="0" w:evenVBand="0" w:oddHBand="0" w:evenHBand="0" w:firstRowFirstColumn="0" w:firstRowLastColumn="0" w:lastRowFirstColumn="0" w:lastRowLastColumn="0"/>
            </w:pPr>
            <w:r>
              <w:t xml:space="preserve">Nitrous oxide </w:t>
            </w:r>
            <w:r w:rsidR="000D43CE">
              <w:t>lost to the environment from deposition of urine, dung,</w:t>
            </w:r>
            <w:r w:rsidR="00020A1A">
              <w:t xml:space="preserve"> effluent, </w:t>
            </w:r>
            <w:r w:rsidR="000D43CE">
              <w:t xml:space="preserve">and </w:t>
            </w:r>
            <w:r w:rsidR="00020A1A">
              <w:t xml:space="preserve">nitrogen-based </w:t>
            </w:r>
            <w:r w:rsidR="000D43CE">
              <w:t>fertilisers (see indirect N</w:t>
            </w:r>
            <w:r w:rsidR="000D43CE" w:rsidRPr="000D43CE">
              <w:rPr>
                <w:vertAlign w:val="subscript"/>
              </w:rPr>
              <w:t>2</w:t>
            </w:r>
            <w:r w:rsidR="000D43CE">
              <w:t>O)</w:t>
            </w:r>
          </w:p>
        </w:tc>
      </w:tr>
      <w:tr w:rsidR="00EA05A6" w14:paraId="0384C724"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4C653D" w14:textId="0FE11246" w:rsidR="00EA05A6" w:rsidRDefault="00EA05A6" w:rsidP="00194937">
            <w:pPr>
              <w:spacing w:before="160" w:after="160" w:line="276" w:lineRule="auto"/>
            </w:pPr>
            <w:r w:rsidRPr="00955168">
              <w:t>DM</w:t>
            </w:r>
          </w:p>
        </w:tc>
        <w:tc>
          <w:tcPr>
            <w:tcW w:w="6945" w:type="dxa"/>
          </w:tcPr>
          <w:p w14:paraId="66D48F27" w14:textId="2CCE2CF3" w:rsidR="00EA05A6" w:rsidRDefault="0098295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W</w:t>
            </w:r>
            <w:r w:rsidR="00EA05A6" w:rsidRPr="00955168">
              <w:t>eight of feed after al</w:t>
            </w:r>
            <w:r w:rsidR="00894647">
              <w:t>l</w:t>
            </w:r>
            <w:r w:rsidR="00EA05A6" w:rsidRPr="00955168">
              <w:t xml:space="preserve"> moisture is removed</w:t>
            </w:r>
          </w:p>
        </w:tc>
      </w:tr>
      <w:tr w:rsidR="006A3533" w14:paraId="032CE284"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44E2D70" w14:textId="2339AD4B" w:rsidR="006A3533" w:rsidRPr="00955168" w:rsidRDefault="006A3533" w:rsidP="00194937">
            <w:pPr>
              <w:spacing w:before="160" w:line="276" w:lineRule="auto"/>
            </w:pPr>
            <w:r>
              <w:t>DMD</w:t>
            </w:r>
          </w:p>
        </w:tc>
        <w:tc>
          <w:tcPr>
            <w:tcW w:w="6945" w:type="dxa"/>
          </w:tcPr>
          <w:p w14:paraId="4631E50C" w14:textId="5CDF8917" w:rsidR="006A3533" w:rsidRPr="00955168" w:rsidRDefault="006A3533" w:rsidP="00194937">
            <w:pPr>
              <w:spacing w:before="160" w:line="276" w:lineRule="auto"/>
              <w:cnfStyle w:val="000000000000" w:firstRow="0" w:lastRow="0" w:firstColumn="0" w:lastColumn="0" w:oddVBand="0" w:evenVBand="0" w:oddHBand="0" w:evenHBand="0" w:firstRowFirstColumn="0" w:firstRowLastColumn="0" w:lastRowFirstColumn="0" w:lastRowLastColumn="0"/>
            </w:pPr>
            <w:r>
              <w:t>Dry matter digestibility</w:t>
            </w:r>
          </w:p>
        </w:tc>
      </w:tr>
      <w:tr w:rsidR="00EA05A6" w14:paraId="06F6A781"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BFEDF1" w14:textId="76ED8339" w:rsidR="00EA05A6" w:rsidRDefault="00EA05A6" w:rsidP="00194937">
            <w:pPr>
              <w:spacing w:before="160" w:after="160" w:line="276" w:lineRule="auto"/>
            </w:pPr>
            <w:r w:rsidRPr="00955168">
              <w:t>DMI</w:t>
            </w:r>
          </w:p>
        </w:tc>
        <w:tc>
          <w:tcPr>
            <w:tcW w:w="6945" w:type="dxa"/>
          </w:tcPr>
          <w:p w14:paraId="3C183003" w14:textId="05AC98C4"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955168">
              <w:t>Dry matter intake is the amount of moisture</w:t>
            </w:r>
            <w:r w:rsidR="00DE5074">
              <w:t>-</w:t>
            </w:r>
            <w:r w:rsidRPr="00955168">
              <w:t xml:space="preserve">free feed an animal consumes, usually referred to </w:t>
            </w:r>
            <w:proofErr w:type="gramStart"/>
            <w:r w:rsidRPr="00955168">
              <w:t>on a daily basis</w:t>
            </w:r>
            <w:proofErr w:type="gramEnd"/>
          </w:p>
        </w:tc>
      </w:tr>
      <w:tr w:rsidR="00CF2FEE" w14:paraId="0BA50A39"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3EB9319" w14:textId="53664CDF" w:rsidR="00CF2FEE" w:rsidRPr="00607766" w:rsidRDefault="00A07609" w:rsidP="00194937">
            <w:pPr>
              <w:spacing w:before="160" w:after="160" w:line="276" w:lineRule="auto"/>
            </w:pPr>
            <w:r>
              <w:t>EF</w:t>
            </w:r>
          </w:p>
        </w:tc>
        <w:tc>
          <w:tcPr>
            <w:tcW w:w="6945" w:type="dxa"/>
          </w:tcPr>
          <w:p w14:paraId="7F76CD0B" w14:textId="1C69EF25" w:rsidR="00CF2FEE" w:rsidRPr="00607766" w:rsidRDefault="0084349A"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Emission factor</w:t>
            </w:r>
            <w:r w:rsidR="00750196">
              <w:t xml:space="preserve"> </w:t>
            </w:r>
          </w:p>
        </w:tc>
      </w:tr>
      <w:tr w:rsidR="00EA05A6" w14:paraId="6D814241"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F84AD1F" w14:textId="74A85208" w:rsidR="00EA05A6" w:rsidRDefault="00EA05A6" w:rsidP="00194937">
            <w:pPr>
              <w:spacing w:before="160" w:after="160" w:line="276" w:lineRule="auto"/>
            </w:pPr>
            <w:r w:rsidRPr="00607766">
              <w:lastRenderedPageBreak/>
              <w:t>Emissions intensity</w:t>
            </w:r>
          </w:p>
        </w:tc>
        <w:tc>
          <w:tcPr>
            <w:tcW w:w="6945" w:type="dxa"/>
          </w:tcPr>
          <w:p w14:paraId="5FF24D02" w14:textId="7E9694D2"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 xml:space="preserve">Emissions intensity (EI) </w:t>
            </w:r>
            <w:r w:rsidR="00DE5074">
              <w:t>i</w:t>
            </w:r>
            <w:r w:rsidRPr="00607766">
              <w:t>s a metric based on the net GHG emissions relative to the output (e.g. kg of fat and protein corrected milk or kg liveweight). EIs allow for comparison and benchmarking between farms of different sizes</w:t>
            </w:r>
            <w:r w:rsidR="00DD4177">
              <w:t xml:space="preserve"> and production levels</w:t>
            </w:r>
          </w:p>
        </w:tc>
      </w:tr>
      <w:tr w:rsidR="00E422F6" w14:paraId="063277BA"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2451B567" w14:textId="09CC4D88" w:rsidR="00E422F6" w:rsidRPr="00607766" w:rsidRDefault="00E422F6" w:rsidP="00194937">
            <w:pPr>
              <w:spacing w:before="160" w:line="276" w:lineRule="auto"/>
            </w:pPr>
            <w:r>
              <w:t>Energy allocation</w:t>
            </w:r>
          </w:p>
        </w:tc>
        <w:tc>
          <w:tcPr>
            <w:tcW w:w="6945" w:type="dxa"/>
          </w:tcPr>
          <w:p w14:paraId="6DA8F7AC" w14:textId="04225196" w:rsidR="00E422F6" w:rsidRPr="00607766" w:rsidRDefault="00E422F6" w:rsidP="00194937">
            <w:pPr>
              <w:spacing w:before="160" w:line="276" w:lineRule="auto"/>
              <w:cnfStyle w:val="000000000000" w:firstRow="0" w:lastRow="0" w:firstColumn="0" w:lastColumn="0" w:oddVBand="0" w:evenVBand="0" w:oddHBand="0" w:evenHBand="0" w:firstRowFirstColumn="0" w:firstRowLastColumn="0" w:lastRowFirstColumn="0" w:lastRowLastColumn="0"/>
            </w:pPr>
            <w:r>
              <w:t xml:space="preserve">ADCC allocated GHG emissions based on the total energy </w:t>
            </w:r>
            <w:r w:rsidR="00E468DD">
              <w:t>attributed to milk</w:t>
            </w:r>
            <w:r w:rsidR="00F967C5">
              <w:t xml:space="preserve"> production</w:t>
            </w:r>
            <w:r w:rsidR="00E468DD">
              <w:t xml:space="preserve"> versus meat production</w:t>
            </w:r>
          </w:p>
        </w:tc>
      </w:tr>
      <w:tr w:rsidR="00EA05A6" w14:paraId="21E70F30"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2D7B379" w14:textId="41997273" w:rsidR="00EA05A6" w:rsidRDefault="00EA05A6" w:rsidP="00194937">
            <w:pPr>
              <w:spacing w:before="160" w:after="160" w:line="276" w:lineRule="auto"/>
            </w:pPr>
            <w:r w:rsidRPr="00607766">
              <w:t>Enteric methane</w:t>
            </w:r>
          </w:p>
        </w:tc>
        <w:tc>
          <w:tcPr>
            <w:tcW w:w="6945" w:type="dxa"/>
          </w:tcPr>
          <w:p w14:paraId="780CE62C" w14:textId="42453F8F"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Enteric methane is produced through enteric fermentation when plant material is broken down in the rumen and is a by-product of this digestive process. Methane is released primarily through belching and exhalation</w:t>
            </w:r>
          </w:p>
        </w:tc>
      </w:tr>
      <w:tr w:rsidR="00D239A9" w14:paraId="7930C9AA"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21332815" w14:textId="428512BB" w:rsidR="00D239A9" w:rsidRPr="00607766" w:rsidRDefault="00D239A9" w:rsidP="00194937">
            <w:pPr>
              <w:spacing w:before="160" w:after="160" w:line="276" w:lineRule="auto"/>
            </w:pPr>
            <w:r>
              <w:t>ERF</w:t>
            </w:r>
          </w:p>
        </w:tc>
        <w:tc>
          <w:tcPr>
            <w:tcW w:w="6945" w:type="dxa"/>
          </w:tcPr>
          <w:p w14:paraId="42956AD8" w14:textId="1544F2EE" w:rsidR="00D239A9" w:rsidRPr="00607766" w:rsidRDefault="00D239A9"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Emissions Reduction Fund</w:t>
            </w:r>
            <w:r w:rsidR="00A9652F">
              <w:t xml:space="preserve"> </w:t>
            </w:r>
            <w:r w:rsidR="002279C6">
              <w:t>is t</w:t>
            </w:r>
            <w:r>
              <w:t xml:space="preserve">he Australian Government’s second voluntary carbon credit scheme, formerly known as the CFI and </w:t>
            </w:r>
            <w:r w:rsidR="007477E5">
              <w:t xml:space="preserve">then </w:t>
            </w:r>
            <w:r>
              <w:t>later replaced with the CSF</w:t>
            </w:r>
          </w:p>
        </w:tc>
      </w:tr>
      <w:tr w:rsidR="00EA05A6" w14:paraId="5263532A"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924C49" w14:textId="330DBB75" w:rsidR="00EA05A6" w:rsidRDefault="00EA05A6" w:rsidP="00194937">
            <w:pPr>
              <w:spacing w:before="160" w:after="160" w:line="276" w:lineRule="auto"/>
            </w:pPr>
            <w:r w:rsidRPr="00607766">
              <w:t>FPCM</w:t>
            </w:r>
          </w:p>
        </w:tc>
        <w:tc>
          <w:tcPr>
            <w:tcW w:w="6945" w:type="dxa"/>
          </w:tcPr>
          <w:p w14:paraId="3985859B" w14:textId="350DEE31" w:rsidR="00EA05A6" w:rsidRDefault="00EA05A6"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Fat and protein-corrected milk is a kg of milk standardised to 4.0% fat and 3.3% protein to allow comparison of milk with varying fat and protein percentages</w:t>
            </w:r>
          </w:p>
        </w:tc>
      </w:tr>
      <w:tr w:rsidR="00FC7B89" w14:paraId="34AC4E85"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B33B44C" w14:textId="31A9C70D" w:rsidR="00FC7B89" w:rsidRPr="00607766" w:rsidRDefault="00FC7B89" w:rsidP="00FC7B89">
            <w:pPr>
              <w:spacing w:before="160" w:line="276" w:lineRule="auto"/>
            </w:pPr>
            <w:r w:rsidRPr="00607766">
              <w:t>GHGs</w:t>
            </w:r>
          </w:p>
        </w:tc>
        <w:tc>
          <w:tcPr>
            <w:tcW w:w="6945" w:type="dxa"/>
          </w:tcPr>
          <w:p w14:paraId="3998C437" w14:textId="59461576" w:rsidR="00FC7B89" w:rsidRPr="00607766" w:rsidRDefault="00FC7B89" w:rsidP="00FC7B89">
            <w:pPr>
              <w:spacing w:before="160" w:line="276" w:lineRule="auto"/>
              <w:cnfStyle w:val="000000000000" w:firstRow="0" w:lastRow="0" w:firstColumn="0" w:lastColumn="0" w:oddVBand="0" w:evenVBand="0" w:oddHBand="0" w:evenHBand="0" w:firstRowFirstColumn="0" w:firstRowLastColumn="0" w:lastRowFirstColumn="0" w:lastRowLastColumn="0"/>
            </w:pPr>
            <w:r w:rsidRPr="00607766">
              <w:t>Greenhouse gases are gases that absorb and emit radiant energy. The main GHGs associated with agriculture are carbon dioxide (CO</w:t>
            </w:r>
            <w:r w:rsidRPr="00607766">
              <w:rPr>
                <w:vertAlign w:val="subscript"/>
              </w:rPr>
              <w:t>2</w:t>
            </w:r>
            <w:r w:rsidRPr="00607766">
              <w:t>), methane (CH</w:t>
            </w:r>
            <w:r w:rsidRPr="00607766">
              <w:rPr>
                <w:vertAlign w:val="subscript"/>
              </w:rPr>
              <w:t>4</w:t>
            </w:r>
            <w:r w:rsidRPr="00607766">
              <w:t>)</w:t>
            </w:r>
            <w:r>
              <w:t>,</w:t>
            </w:r>
            <w:r w:rsidRPr="00607766">
              <w:t xml:space="preserve"> and nitrous oxide (N</w:t>
            </w:r>
            <w:r w:rsidRPr="00607766">
              <w:rPr>
                <w:vertAlign w:val="subscript"/>
              </w:rPr>
              <w:t>2</w:t>
            </w:r>
            <w:r w:rsidRPr="00607766">
              <w:t>O)</w:t>
            </w:r>
          </w:p>
        </w:tc>
      </w:tr>
      <w:tr w:rsidR="00B84A44" w14:paraId="1769B6E5"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87CE13" w14:textId="16156BCE" w:rsidR="00B84A44" w:rsidRPr="00607766" w:rsidRDefault="00304A89" w:rsidP="00194937">
            <w:pPr>
              <w:spacing w:before="160" w:line="276" w:lineRule="auto"/>
            </w:pPr>
            <w:r>
              <w:t>Global temperature potential</w:t>
            </w:r>
          </w:p>
        </w:tc>
        <w:tc>
          <w:tcPr>
            <w:tcW w:w="6945" w:type="dxa"/>
          </w:tcPr>
          <w:p w14:paraId="19F998DB" w14:textId="6829F5DD" w:rsidR="00B84A44" w:rsidRPr="00304A89" w:rsidRDefault="00B84A44" w:rsidP="00194937">
            <w:pPr>
              <w:spacing w:before="160" w:line="276" w:lineRule="auto"/>
              <w:cnfStyle w:val="000000100000" w:firstRow="0" w:lastRow="0" w:firstColumn="0" w:lastColumn="0" w:oddVBand="0" w:evenVBand="0" w:oddHBand="1" w:evenHBand="0" w:firstRowFirstColumn="0" w:firstRowLastColumn="0" w:lastRowFirstColumn="0" w:lastRowLastColumn="0"/>
            </w:pPr>
            <w:r>
              <w:t>Global Temperature Potential</w:t>
            </w:r>
            <w:r w:rsidR="00304A89">
              <w:t xml:space="preserve"> (GTP) is an alternative to </w:t>
            </w:r>
            <w:r w:rsidR="00304A89" w:rsidRPr="00607766">
              <w:t>GWP</w:t>
            </w:r>
            <w:r w:rsidR="00304A89">
              <w:rPr>
                <w:vertAlign w:val="subscript"/>
              </w:rPr>
              <w:t xml:space="preserve">100 </w:t>
            </w:r>
            <w:r w:rsidR="00304A89">
              <w:t xml:space="preserve">to report the warming potential of </w:t>
            </w:r>
            <w:r w:rsidR="00915135">
              <w:t>methane</w:t>
            </w:r>
            <w:r w:rsidR="00FB690E">
              <w:t xml:space="preserve">, based on the </w:t>
            </w:r>
            <w:r w:rsidR="00F8606A">
              <w:t>change in global mean surface temperature, usually on a yearly time-step</w:t>
            </w:r>
          </w:p>
        </w:tc>
      </w:tr>
      <w:tr w:rsidR="00EA05A6" w14:paraId="27EAB4AE"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77A5384" w14:textId="27A5523B" w:rsidR="00EA05A6" w:rsidRDefault="00EA05A6" w:rsidP="00194937">
            <w:pPr>
              <w:spacing w:before="160" w:after="160" w:line="276" w:lineRule="auto"/>
            </w:pPr>
            <w:r w:rsidRPr="00607766">
              <w:t>G</w:t>
            </w:r>
            <w:r w:rsidR="00BA3FA7">
              <w:t xml:space="preserve">lobal warming potential </w:t>
            </w:r>
          </w:p>
        </w:tc>
        <w:tc>
          <w:tcPr>
            <w:tcW w:w="6945" w:type="dxa"/>
          </w:tcPr>
          <w:p w14:paraId="3AE2BFF4" w14:textId="267B7A6E" w:rsidR="00EA05A6" w:rsidRDefault="00EA05A6"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607766">
              <w:t>Global warming potential</w:t>
            </w:r>
            <w:r w:rsidR="00BA3FA7">
              <w:t xml:space="preserve"> (GWP)</w:t>
            </w:r>
            <w:r w:rsidRPr="00607766">
              <w:t xml:space="preserve"> is a measure of cumulative radiative forcing, which aims to quantify the long-term contribution of a GHG to global warming. Each GHG has a specific GWP value</w:t>
            </w:r>
            <w:r w:rsidR="00D73328">
              <w:t>,</w:t>
            </w:r>
            <w:r w:rsidRPr="00607766">
              <w:t xml:space="preserve"> and this is relative to a specific timeframe</w:t>
            </w:r>
          </w:p>
        </w:tc>
      </w:tr>
      <w:tr w:rsidR="00CD5B87" w14:paraId="705C7E50"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414477" w14:textId="606BE9A7" w:rsidR="00CD5B87" w:rsidRPr="00CD5B87" w:rsidRDefault="00CD5B87" w:rsidP="00194937">
            <w:pPr>
              <w:spacing w:before="160" w:after="160" w:line="276" w:lineRule="auto"/>
              <w:rPr>
                <w:vertAlign w:val="subscript"/>
              </w:rPr>
            </w:pPr>
            <w:r w:rsidRPr="00607766">
              <w:t>GWP</w:t>
            </w:r>
            <w:r>
              <w:rPr>
                <w:vertAlign w:val="subscript"/>
              </w:rPr>
              <w:t>100</w:t>
            </w:r>
          </w:p>
        </w:tc>
        <w:tc>
          <w:tcPr>
            <w:tcW w:w="6945" w:type="dxa"/>
          </w:tcPr>
          <w:p w14:paraId="7DEC6145" w14:textId="0115C4BF" w:rsidR="00CD5B87" w:rsidRPr="00607766"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 xml:space="preserve">Global warming potential </w:t>
            </w:r>
            <w:r w:rsidR="00F413D9">
              <w:t>based on a 100-year time horizon</w:t>
            </w:r>
          </w:p>
        </w:tc>
      </w:tr>
      <w:tr w:rsidR="00CD5B87" w14:paraId="1BA92D80"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70E39A8E" w14:textId="43083685" w:rsidR="00CD5B87" w:rsidRDefault="00CD5B87" w:rsidP="00194937">
            <w:pPr>
              <w:spacing w:before="160" w:after="160" w:line="276" w:lineRule="auto"/>
            </w:pPr>
            <w:r>
              <w:t>IPCC</w:t>
            </w:r>
          </w:p>
        </w:tc>
        <w:tc>
          <w:tcPr>
            <w:tcW w:w="6945" w:type="dxa"/>
          </w:tcPr>
          <w:p w14:paraId="66AD2674" w14:textId="7CE9CFA2"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 xml:space="preserve">Intergovernmental Panel on Climate </w:t>
            </w:r>
            <w:r w:rsidRPr="00415108">
              <w:t>Change</w:t>
            </w:r>
            <w:r w:rsidR="00415108" w:rsidRPr="00415108">
              <w:t xml:space="preserve">, </w:t>
            </w:r>
            <w:r w:rsidR="00415108" w:rsidRPr="00415108">
              <w:rPr>
                <w:rFonts w:cstheme="minorHAnsi"/>
              </w:rPr>
              <w:t xml:space="preserve">established in 1988 to provide scientific information on </w:t>
            </w:r>
            <w:r w:rsidR="00415108" w:rsidRPr="001E311B">
              <w:rPr>
                <w:rFonts w:cstheme="minorHAnsi"/>
                <w:iCs/>
              </w:rPr>
              <w:t>anthropogenic</w:t>
            </w:r>
            <w:r w:rsidR="00415108" w:rsidRPr="00415108">
              <w:rPr>
                <w:rFonts w:cstheme="minorHAnsi"/>
              </w:rPr>
              <w:t xml:space="preserve"> climate change, including the impacts</w:t>
            </w:r>
            <w:r w:rsidR="00A56074">
              <w:rPr>
                <w:rFonts w:cstheme="minorHAnsi"/>
              </w:rPr>
              <w:t xml:space="preserve">, </w:t>
            </w:r>
            <w:r w:rsidR="00415108" w:rsidRPr="00415108">
              <w:rPr>
                <w:rFonts w:cstheme="minorHAnsi"/>
              </w:rPr>
              <w:t>risks, and possible response options</w:t>
            </w:r>
          </w:p>
        </w:tc>
      </w:tr>
      <w:tr w:rsidR="00CD5B87" w14:paraId="09094897"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CD74130" w14:textId="61A8CB02" w:rsidR="00CD5B87" w:rsidRPr="00607766" w:rsidRDefault="00CD5B87" w:rsidP="00194937">
            <w:pPr>
              <w:spacing w:before="160" w:after="160" w:line="276" w:lineRule="auto"/>
            </w:pPr>
            <w:r>
              <w:t>Indirect N</w:t>
            </w:r>
            <w:r w:rsidRPr="001353EE">
              <w:rPr>
                <w:vertAlign w:val="subscript"/>
              </w:rPr>
              <w:t>2</w:t>
            </w:r>
            <w:r>
              <w:t>O</w:t>
            </w:r>
          </w:p>
        </w:tc>
        <w:tc>
          <w:tcPr>
            <w:tcW w:w="6945" w:type="dxa"/>
          </w:tcPr>
          <w:p w14:paraId="58ECA1D5" w14:textId="69EEF76F" w:rsidR="00CD5B87" w:rsidRPr="00607766"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A proportion of the nitrogen applied to soils via animal urine, dung</w:t>
            </w:r>
            <w:r w:rsidR="00D73328">
              <w:t>,</w:t>
            </w:r>
            <w:r>
              <w:t xml:space="preserve"> and effluent</w:t>
            </w:r>
            <w:r w:rsidR="006B6123">
              <w:t>,</w:t>
            </w:r>
            <w:r>
              <w:t xml:space="preserve"> or </w:t>
            </w:r>
            <w:r w:rsidR="003A1F7B">
              <w:t>as</w:t>
            </w:r>
            <w:r>
              <w:t xml:space="preserve"> nitrogen-based fertilisers</w:t>
            </w:r>
            <w:r w:rsidR="006B6123">
              <w:t>,</w:t>
            </w:r>
            <w:r>
              <w:t xml:space="preserve"> can be lost to the environment as </w:t>
            </w:r>
            <w:r w:rsidR="00493D42">
              <w:t xml:space="preserve">volatilised </w:t>
            </w:r>
            <w:r>
              <w:t>ammonia</w:t>
            </w:r>
            <w:r w:rsidR="00493D42">
              <w:t xml:space="preserve"> or leaching/runoff nitrate</w:t>
            </w:r>
            <w:r>
              <w:t xml:space="preserve">. Over time, this nitrogen is redeposited onto soils in rainfall (volatilised N) or deposited into water courses (leached/runoff N). A proportion of this redeposited nitrogen will </w:t>
            </w:r>
            <w:r>
              <w:lastRenderedPageBreak/>
              <w:t xml:space="preserve">be transformed into nitrous oxide through the processes of nitrification and denitrification </w:t>
            </w:r>
          </w:p>
        </w:tc>
      </w:tr>
      <w:tr w:rsidR="00CD5B87" w14:paraId="339D674A"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4C63FD4" w14:textId="389045D8" w:rsidR="00CD5B87" w:rsidRPr="00607766" w:rsidRDefault="00CD5B87" w:rsidP="00194937">
            <w:pPr>
              <w:spacing w:before="160" w:after="160" w:line="276" w:lineRule="auto"/>
            </w:pPr>
            <w:r>
              <w:lastRenderedPageBreak/>
              <w:t>K</w:t>
            </w:r>
          </w:p>
        </w:tc>
        <w:tc>
          <w:tcPr>
            <w:tcW w:w="6945" w:type="dxa"/>
          </w:tcPr>
          <w:p w14:paraId="448B6B3A" w14:textId="7DEDC57B" w:rsidR="00CD5B87" w:rsidRPr="00607766"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Potassium</w:t>
            </w:r>
          </w:p>
        </w:tc>
      </w:tr>
      <w:tr w:rsidR="00CD5B87" w14:paraId="1220CDEC"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065F648" w14:textId="031D865D" w:rsidR="00CD5B87" w:rsidRDefault="00CD5B87" w:rsidP="00194937">
            <w:pPr>
              <w:spacing w:before="160" w:after="160" w:line="276" w:lineRule="auto"/>
            </w:pPr>
            <w:r w:rsidRPr="00607766">
              <w:t>LW</w:t>
            </w:r>
          </w:p>
        </w:tc>
        <w:tc>
          <w:tcPr>
            <w:tcW w:w="6945" w:type="dxa"/>
          </w:tcPr>
          <w:p w14:paraId="62A5EA77" w14:textId="1ED6173E" w:rsidR="00CD5B87"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Liveweight of an animal, usually reported as kgs</w:t>
            </w:r>
          </w:p>
        </w:tc>
      </w:tr>
      <w:tr w:rsidR="00CD5B87" w14:paraId="2F90CA07"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0F888DCF" w14:textId="26242BE7" w:rsidR="00CD5B87" w:rsidRDefault="00CD5B87" w:rsidP="00194937">
            <w:pPr>
              <w:spacing w:before="160" w:after="160" w:line="276" w:lineRule="auto"/>
            </w:pPr>
            <w:r w:rsidRPr="00607766">
              <w:t>LWG</w:t>
            </w:r>
          </w:p>
        </w:tc>
        <w:tc>
          <w:tcPr>
            <w:tcW w:w="6945" w:type="dxa"/>
          </w:tcPr>
          <w:p w14:paraId="04B50516" w14:textId="40C9D293"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607766">
              <w:t>Liveweight gain of an animal, usually reported as kg/day</w:t>
            </w:r>
          </w:p>
        </w:tc>
      </w:tr>
      <w:tr w:rsidR="00CD5B87" w14:paraId="083521C8"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8BB922" w14:textId="22DE588F" w:rsidR="00CD5B87" w:rsidRDefault="00CD5B87" w:rsidP="00194937">
            <w:pPr>
              <w:spacing w:before="160" w:after="160" w:line="276" w:lineRule="auto"/>
            </w:pPr>
            <w:r>
              <w:t>Manure</w:t>
            </w:r>
          </w:p>
        </w:tc>
        <w:tc>
          <w:tcPr>
            <w:tcW w:w="6945" w:type="dxa"/>
          </w:tcPr>
          <w:p w14:paraId="3C4A4490" w14:textId="6B6FED73" w:rsidR="00CD5B87"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 xml:space="preserve">Manure is used in this manual when referring to the sum of urine and dung. At times, waste is also used as an alternative term for manure. Unless stipulated, manure </w:t>
            </w:r>
            <w:r w:rsidR="00E211CA">
              <w:t>refers to the sum of</w:t>
            </w:r>
            <w:r>
              <w:t xml:space="preserve"> urine and dung deposition</w:t>
            </w:r>
          </w:p>
        </w:tc>
      </w:tr>
      <w:tr w:rsidR="00CD5B87" w14:paraId="30375692"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F0A5069" w14:textId="311A31D3" w:rsidR="00CD5B87" w:rsidRDefault="00CD5B87" w:rsidP="00194937">
            <w:pPr>
              <w:spacing w:before="160" w:after="160" w:line="276" w:lineRule="auto"/>
            </w:pPr>
            <w:r>
              <w:t>Manure management system</w:t>
            </w:r>
          </w:p>
        </w:tc>
        <w:tc>
          <w:tcPr>
            <w:tcW w:w="6945" w:type="dxa"/>
          </w:tcPr>
          <w:p w14:paraId="79BBAF0C" w14:textId="605E70B8"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Manure management system (MMS) refers to the method of handling animal manure. MMSs for dairy include directly voided onto pastures during grazing, pond/lagoons, sump/dispersal, drains to paddock daily</w:t>
            </w:r>
            <w:r w:rsidR="00D17F35">
              <w:t>,</w:t>
            </w:r>
            <w:r>
              <w:t xml:space="preserve"> and solid storage</w:t>
            </w:r>
          </w:p>
        </w:tc>
      </w:tr>
      <w:tr w:rsidR="00EA51D9" w14:paraId="3F456CBA"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F84E84" w14:textId="2A7654E1" w:rsidR="00EA51D9" w:rsidRDefault="00EA51D9" w:rsidP="00194937">
            <w:pPr>
              <w:spacing w:before="160" w:line="276" w:lineRule="auto"/>
            </w:pPr>
            <w:r>
              <w:t>Methane conversion factor</w:t>
            </w:r>
          </w:p>
        </w:tc>
        <w:tc>
          <w:tcPr>
            <w:tcW w:w="6945" w:type="dxa"/>
          </w:tcPr>
          <w:p w14:paraId="23E91132" w14:textId="03ADB085" w:rsidR="00EA51D9" w:rsidRDefault="00EA51D9" w:rsidP="00194937">
            <w:pPr>
              <w:spacing w:before="160" w:line="276" w:lineRule="auto"/>
              <w:cnfStyle w:val="000000100000" w:firstRow="0" w:lastRow="0" w:firstColumn="0" w:lastColumn="0" w:oddVBand="0" w:evenVBand="0" w:oddHBand="1" w:evenHBand="0" w:firstRowFirstColumn="0" w:firstRowLastColumn="0" w:lastRowFirstColumn="0" w:lastRowLastColumn="0"/>
            </w:pPr>
            <w:r>
              <w:t xml:space="preserve">Methane conversion factor (MCF) </w:t>
            </w:r>
            <w:r w:rsidR="00DB652D">
              <w:t>define</w:t>
            </w:r>
            <w:r w:rsidR="00A27D75">
              <w:t xml:space="preserve">s the proportion of methane-producing potential of each </w:t>
            </w:r>
            <w:r w:rsidR="00A132D7">
              <w:t>manure management system. Pond/lagoons have a higher MCF than other storage systems</w:t>
            </w:r>
          </w:p>
        </w:tc>
      </w:tr>
      <w:tr w:rsidR="00CD5B87" w14:paraId="44D40297"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1ADB8C1" w14:textId="7A7B1AFE" w:rsidR="00CD5B87" w:rsidRPr="00607766" w:rsidRDefault="00CD5B87" w:rsidP="00194937">
            <w:pPr>
              <w:spacing w:before="160" w:after="160" w:line="276" w:lineRule="auto"/>
            </w:pPr>
            <w:r>
              <w:t>Methane</w:t>
            </w:r>
          </w:p>
        </w:tc>
        <w:tc>
          <w:tcPr>
            <w:tcW w:w="6945" w:type="dxa"/>
          </w:tcPr>
          <w:p w14:paraId="40959077" w14:textId="2599D128" w:rsidR="00CD5B87" w:rsidRPr="00607766"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Methane (CH</w:t>
            </w:r>
            <w:r w:rsidRPr="00226856">
              <w:rPr>
                <w:vertAlign w:val="subscript"/>
              </w:rPr>
              <w:t>4</w:t>
            </w:r>
            <w:r>
              <w:t xml:space="preserve">) is a GHG that is 28 times more potent than carbon dioxide </w:t>
            </w:r>
            <w:r w:rsidR="009429DE">
              <w:t>over</w:t>
            </w:r>
            <w:r>
              <w:t xml:space="preserve"> a 100-year timeframe, based on the IPCC AR5 report. </w:t>
            </w:r>
            <w:r w:rsidR="00090A06">
              <w:t>Methane</w:t>
            </w:r>
            <w:r>
              <w:t xml:space="preserve"> is released to the environment via the digestion process (enteric CH</w:t>
            </w:r>
            <w:r w:rsidRPr="00226856">
              <w:rPr>
                <w:vertAlign w:val="subscript"/>
              </w:rPr>
              <w:t>4</w:t>
            </w:r>
            <w:r>
              <w:t xml:space="preserve">) and </w:t>
            </w:r>
            <w:r w:rsidR="009E7305">
              <w:t xml:space="preserve">with </w:t>
            </w:r>
            <w:r>
              <w:t xml:space="preserve">manure management </w:t>
            </w:r>
            <w:r w:rsidR="00090A06">
              <w:t>(waste CH</w:t>
            </w:r>
            <w:r w:rsidR="00090A06" w:rsidRPr="00090A06">
              <w:rPr>
                <w:vertAlign w:val="subscript"/>
              </w:rPr>
              <w:t>4</w:t>
            </w:r>
            <w:r w:rsidR="00090A06">
              <w:t>)</w:t>
            </w:r>
          </w:p>
        </w:tc>
      </w:tr>
      <w:tr w:rsidR="00CD5B87" w14:paraId="41B61D09"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3B8508" w14:textId="0284A75C" w:rsidR="00CD5B87" w:rsidRPr="00607766" w:rsidRDefault="00CD5B87" w:rsidP="00194937">
            <w:pPr>
              <w:spacing w:before="160" w:after="160" w:line="276" w:lineRule="auto"/>
            </w:pPr>
            <w:r>
              <w:t>N</w:t>
            </w:r>
          </w:p>
        </w:tc>
        <w:tc>
          <w:tcPr>
            <w:tcW w:w="6945" w:type="dxa"/>
          </w:tcPr>
          <w:p w14:paraId="506B5C05" w14:textId="4E7425A0" w:rsidR="00CD5B87" w:rsidRPr="00607766"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Nitrogen</w:t>
            </w:r>
          </w:p>
        </w:tc>
      </w:tr>
      <w:tr w:rsidR="00CD5B87" w14:paraId="3E241C82"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0A32863" w14:textId="2E8873A4" w:rsidR="00CD5B87" w:rsidRDefault="00CD5B87" w:rsidP="00194937">
            <w:pPr>
              <w:spacing w:before="160" w:after="160" w:line="276" w:lineRule="auto"/>
            </w:pPr>
            <w:r w:rsidRPr="00607766">
              <w:t>Net emissions</w:t>
            </w:r>
          </w:p>
        </w:tc>
        <w:tc>
          <w:tcPr>
            <w:tcW w:w="6945" w:type="dxa"/>
          </w:tcPr>
          <w:p w14:paraId="6E51407E" w14:textId="6CEA1186"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rsidRPr="00607766">
              <w:t xml:space="preserve">Total </w:t>
            </w:r>
            <w:r>
              <w:t xml:space="preserve">GHG </w:t>
            </w:r>
            <w:r w:rsidRPr="00607766">
              <w:t xml:space="preserve">emissions minus carbon sequestered in carbon sinks </w:t>
            </w:r>
            <w:r>
              <w:t>(trees and/or soils)</w:t>
            </w:r>
          </w:p>
        </w:tc>
      </w:tr>
      <w:tr w:rsidR="00CD5B87" w14:paraId="67C79C04"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452A76" w14:textId="6F7E8D92" w:rsidR="00CD5B87" w:rsidRDefault="00CD5B87" w:rsidP="00194937">
            <w:pPr>
              <w:spacing w:before="160" w:after="160" w:line="276" w:lineRule="auto"/>
            </w:pPr>
            <w:r w:rsidRPr="00607766">
              <w:t>NGGI</w:t>
            </w:r>
          </w:p>
        </w:tc>
        <w:tc>
          <w:tcPr>
            <w:tcW w:w="6945" w:type="dxa"/>
          </w:tcPr>
          <w:p w14:paraId="347AD845" w14:textId="42D70BB1" w:rsidR="00CD5B87"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rsidRPr="00607766">
              <w:t>The National GHG Inventory accounts for</w:t>
            </w:r>
            <w:r w:rsidR="0061087A">
              <w:t>,</w:t>
            </w:r>
            <w:r w:rsidRPr="00607766">
              <w:t xml:space="preserve"> and estimates</w:t>
            </w:r>
            <w:r w:rsidR="0061087A">
              <w:t>,</w:t>
            </w:r>
            <w:r w:rsidRPr="00607766">
              <w:t xml:space="preserve"> Australia’s GHG emissions and sinks</w:t>
            </w:r>
          </w:p>
        </w:tc>
      </w:tr>
      <w:tr w:rsidR="00CD5B87" w14:paraId="17D30B8D"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2B078D78" w14:textId="1098B2E4" w:rsidR="00CD5B87" w:rsidRDefault="00CD5B87" w:rsidP="00194937">
            <w:pPr>
              <w:spacing w:before="160" w:after="160" w:line="276" w:lineRule="auto"/>
            </w:pPr>
            <w:r>
              <w:t>NGER</w:t>
            </w:r>
          </w:p>
        </w:tc>
        <w:tc>
          <w:tcPr>
            <w:tcW w:w="6945" w:type="dxa"/>
          </w:tcPr>
          <w:p w14:paraId="5BCB0D88" w14:textId="4FF2E176"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National Greenhouse and Energy Reporting</w:t>
            </w:r>
          </w:p>
        </w:tc>
      </w:tr>
      <w:tr w:rsidR="00044898" w14:paraId="0DA817A4"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99137D" w14:textId="7592F38E" w:rsidR="00044898" w:rsidRDefault="00044898" w:rsidP="00044898">
            <w:pPr>
              <w:spacing w:before="160" w:line="276" w:lineRule="auto"/>
            </w:pPr>
            <w:r>
              <w:t>NH</w:t>
            </w:r>
            <w:r w:rsidRPr="00044898">
              <w:rPr>
                <w:vertAlign w:val="subscript"/>
              </w:rPr>
              <w:t>4</w:t>
            </w:r>
          </w:p>
        </w:tc>
        <w:tc>
          <w:tcPr>
            <w:tcW w:w="6945" w:type="dxa"/>
          </w:tcPr>
          <w:p w14:paraId="4B8D7AAD" w14:textId="6A6F1821" w:rsidR="00044898" w:rsidRDefault="00044898" w:rsidP="00194937">
            <w:pPr>
              <w:spacing w:before="160" w:line="276" w:lineRule="auto"/>
              <w:cnfStyle w:val="000000100000" w:firstRow="0" w:lastRow="0" w:firstColumn="0" w:lastColumn="0" w:oddVBand="0" w:evenVBand="0" w:oddHBand="1" w:evenHBand="0" w:firstRowFirstColumn="0" w:firstRowLastColumn="0" w:lastRowFirstColumn="0" w:lastRowLastColumn="0"/>
            </w:pPr>
            <w:r>
              <w:t>Ammonium</w:t>
            </w:r>
          </w:p>
        </w:tc>
      </w:tr>
      <w:tr w:rsidR="00CD5B87" w14:paraId="79A85D23"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167692B" w14:textId="50A2F73D" w:rsidR="00CD5B87" w:rsidRDefault="00CD5B87" w:rsidP="00194937">
            <w:pPr>
              <w:spacing w:before="160" w:after="160" w:line="276" w:lineRule="auto"/>
            </w:pPr>
            <w:r>
              <w:t>Nitrous oxide</w:t>
            </w:r>
          </w:p>
        </w:tc>
        <w:tc>
          <w:tcPr>
            <w:tcW w:w="6945" w:type="dxa"/>
          </w:tcPr>
          <w:p w14:paraId="573A7BB3" w14:textId="00C701FC" w:rsidR="00CD5B87" w:rsidRDefault="00CD5B87" w:rsidP="00194937">
            <w:pPr>
              <w:spacing w:before="160" w:after="160" w:line="276" w:lineRule="auto"/>
              <w:cnfStyle w:val="000000000000" w:firstRow="0" w:lastRow="0" w:firstColumn="0" w:lastColumn="0" w:oddVBand="0" w:evenVBand="0" w:oddHBand="0" w:evenHBand="0" w:firstRowFirstColumn="0" w:firstRowLastColumn="0" w:lastRowFirstColumn="0" w:lastRowLastColumn="0"/>
            </w:pPr>
            <w:r>
              <w:t>Nitrous oxide (N</w:t>
            </w:r>
            <w:r w:rsidRPr="00531599">
              <w:rPr>
                <w:vertAlign w:val="subscript"/>
              </w:rPr>
              <w:t>2</w:t>
            </w:r>
            <w:r>
              <w:t>O) is a GHG that is 265 times more potent than carbon dioxide, based on the IPCC AR5 report. N</w:t>
            </w:r>
            <w:r w:rsidRPr="00036655">
              <w:rPr>
                <w:vertAlign w:val="subscript"/>
              </w:rPr>
              <w:t>2</w:t>
            </w:r>
            <w:r>
              <w:t>O is released to the environment when micro-organisms in the soil act on the nitrogen applied to the soil</w:t>
            </w:r>
            <w:r w:rsidR="008E39F2">
              <w:t>,</w:t>
            </w:r>
            <w:r w:rsidR="00330AF8">
              <w:t xml:space="preserve"> whether that N is deposited</w:t>
            </w:r>
            <w:r>
              <w:t xml:space="preserve"> via animal urine</w:t>
            </w:r>
            <w:r w:rsidR="00B07F20">
              <w:t xml:space="preserve">, </w:t>
            </w:r>
            <w:r>
              <w:t xml:space="preserve">dung, </w:t>
            </w:r>
            <w:proofErr w:type="gramStart"/>
            <w:r w:rsidR="00B07F20">
              <w:t>effluent</w:t>
            </w:r>
            <w:proofErr w:type="gramEnd"/>
            <w:r w:rsidR="00B07F20">
              <w:t xml:space="preserve"> or </w:t>
            </w:r>
            <w:r>
              <w:t xml:space="preserve">nitrogen-based </w:t>
            </w:r>
            <w:r w:rsidR="00A2752C">
              <w:t>fertilisers</w:t>
            </w:r>
          </w:p>
        </w:tc>
      </w:tr>
      <w:tr w:rsidR="00CD5B87" w14:paraId="7561D9DA"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B0AC29" w14:textId="5B230247" w:rsidR="00CD5B87" w:rsidRDefault="00CD5B87" w:rsidP="00194937">
            <w:pPr>
              <w:spacing w:before="160" w:after="160" w:line="276" w:lineRule="auto"/>
            </w:pPr>
            <w:r>
              <w:lastRenderedPageBreak/>
              <w:t>N</w:t>
            </w:r>
            <w:r w:rsidRPr="00371947">
              <w:rPr>
                <w:vertAlign w:val="subscript"/>
              </w:rPr>
              <w:t>2</w:t>
            </w:r>
            <w:r>
              <w:t>O</w:t>
            </w:r>
          </w:p>
        </w:tc>
        <w:tc>
          <w:tcPr>
            <w:tcW w:w="6945" w:type="dxa"/>
          </w:tcPr>
          <w:p w14:paraId="53C9878C" w14:textId="1F4F44B0" w:rsidR="00CD5B87" w:rsidRDefault="00CD5B87" w:rsidP="00194937">
            <w:pPr>
              <w:spacing w:before="160" w:after="160" w:line="276" w:lineRule="auto"/>
              <w:cnfStyle w:val="000000100000" w:firstRow="0" w:lastRow="0" w:firstColumn="0" w:lastColumn="0" w:oddVBand="0" w:evenVBand="0" w:oddHBand="1" w:evenHBand="0" w:firstRowFirstColumn="0" w:firstRowLastColumn="0" w:lastRowFirstColumn="0" w:lastRowLastColumn="0"/>
            </w:pPr>
            <w:r>
              <w:t>Nitrous oxide</w:t>
            </w:r>
          </w:p>
        </w:tc>
      </w:tr>
      <w:tr w:rsidR="0087285B" w14:paraId="45130B86"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3C271B35" w14:textId="1964C285" w:rsidR="0087285B" w:rsidRDefault="0087285B" w:rsidP="0087285B">
            <w:pPr>
              <w:spacing w:before="160" w:line="276" w:lineRule="auto"/>
            </w:pPr>
            <w:r>
              <w:t>NO</w:t>
            </w:r>
            <w:r w:rsidRPr="0087285B">
              <w:rPr>
                <w:vertAlign w:val="subscript"/>
              </w:rPr>
              <w:t>3</w:t>
            </w:r>
          </w:p>
        </w:tc>
        <w:tc>
          <w:tcPr>
            <w:tcW w:w="6945" w:type="dxa"/>
          </w:tcPr>
          <w:p w14:paraId="434B9154" w14:textId="54A02077" w:rsidR="0087285B" w:rsidRDefault="0087285B" w:rsidP="0087285B">
            <w:pPr>
              <w:spacing w:before="160" w:line="276" w:lineRule="auto"/>
              <w:cnfStyle w:val="000000000000" w:firstRow="0" w:lastRow="0" w:firstColumn="0" w:lastColumn="0" w:oddVBand="0" w:evenVBand="0" w:oddHBand="0" w:evenHBand="0" w:firstRowFirstColumn="0" w:firstRowLastColumn="0" w:lastRowFirstColumn="0" w:lastRowLastColumn="0"/>
            </w:pPr>
            <w:r>
              <w:t>Nitrate</w:t>
            </w:r>
          </w:p>
        </w:tc>
      </w:tr>
      <w:tr w:rsidR="0087285B" w14:paraId="1D0C1223"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E205914" w14:textId="7320907E" w:rsidR="0087285B" w:rsidRDefault="0087285B" w:rsidP="0087285B">
            <w:pPr>
              <w:spacing w:before="160" w:after="160" w:line="276" w:lineRule="auto"/>
            </w:pPr>
            <w:r>
              <w:t>P</w:t>
            </w:r>
          </w:p>
        </w:tc>
        <w:tc>
          <w:tcPr>
            <w:tcW w:w="6945" w:type="dxa"/>
          </w:tcPr>
          <w:p w14:paraId="3A064183" w14:textId="06AEA98D" w:rsidR="0087285B" w:rsidRDefault="0087285B" w:rsidP="0087285B">
            <w:pPr>
              <w:spacing w:before="160" w:after="160" w:line="276" w:lineRule="auto"/>
              <w:cnfStyle w:val="000000100000" w:firstRow="0" w:lastRow="0" w:firstColumn="0" w:lastColumn="0" w:oddVBand="0" w:evenVBand="0" w:oddHBand="1" w:evenHBand="0" w:firstRowFirstColumn="0" w:firstRowLastColumn="0" w:lastRowFirstColumn="0" w:lastRowLastColumn="0"/>
            </w:pPr>
            <w:r>
              <w:t>Phosphorus</w:t>
            </w:r>
          </w:p>
        </w:tc>
      </w:tr>
      <w:tr w:rsidR="0087285B" w14:paraId="38FAE555"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FB93432" w14:textId="65D76FB5" w:rsidR="0087285B" w:rsidRDefault="0087285B" w:rsidP="0087285B">
            <w:pPr>
              <w:spacing w:before="160" w:after="160" w:line="276" w:lineRule="auto"/>
            </w:pPr>
            <w:r w:rsidRPr="00607766">
              <w:t>Pre-farm embedded emissions</w:t>
            </w:r>
          </w:p>
        </w:tc>
        <w:tc>
          <w:tcPr>
            <w:tcW w:w="6945" w:type="dxa"/>
          </w:tcPr>
          <w:p w14:paraId="2F144DD6" w14:textId="4F0D1A7D" w:rsidR="0087285B" w:rsidRDefault="0087285B" w:rsidP="0087285B">
            <w:pPr>
              <w:spacing w:before="160" w:after="160" w:line="276" w:lineRule="auto"/>
              <w:cnfStyle w:val="000000000000" w:firstRow="0" w:lastRow="0" w:firstColumn="0" w:lastColumn="0" w:oddVBand="0" w:evenVBand="0" w:oddHBand="0" w:evenHBand="0" w:firstRowFirstColumn="0" w:firstRowLastColumn="0" w:lastRowFirstColumn="0" w:lastRowLastColumn="0"/>
            </w:pPr>
            <w:r>
              <w:t>GHG emissions associated with the production/manufacturing of key farm inputs such as grain, fodder, and fertiliser. In ADCC, pre-farm embedded emissions do not include the emissions associated with the transportation of these inputs from the point of production to the farm gate, due to the difficulty in establishing distances travelled for grain, fodder, and/or fertilisers</w:t>
            </w:r>
          </w:p>
        </w:tc>
      </w:tr>
      <w:tr w:rsidR="0087285B" w14:paraId="654FD522"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DCE20E" w14:textId="42B05F8E" w:rsidR="0087285B" w:rsidRDefault="0087285B" w:rsidP="0087285B">
            <w:pPr>
              <w:spacing w:before="160" w:after="160" w:line="276" w:lineRule="auto"/>
            </w:pPr>
            <w:r>
              <w:t>S</w:t>
            </w:r>
          </w:p>
        </w:tc>
        <w:tc>
          <w:tcPr>
            <w:tcW w:w="6945" w:type="dxa"/>
          </w:tcPr>
          <w:p w14:paraId="35D91D8F" w14:textId="3FC41253" w:rsidR="0087285B" w:rsidRDefault="0087285B" w:rsidP="0087285B">
            <w:pPr>
              <w:spacing w:before="160" w:after="160" w:line="276" w:lineRule="auto"/>
              <w:cnfStyle w:val="000000100000" w:firstRow="0" w:lastRow="0" w:firstColumn="0" w:lastColumn="0" w:oddVBand="0" w:evenVBand="0" w:oddHBand="1" w:evenHBand="0" w:firstRowFirstColumn="0" w:firstRowLastColumn="0" w:lastRowFirstColumn="0" w:lastRowLastColumn="0"/>
            </w:pPr>
            <w:r>
              <w:t>Sulphur</w:t>
            </w:r>
          </w:p>
        </w:tc>
      </w:tr>
      <w:tr w:rsidR="0087285B" w14:paraId="4C5EDCA7"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7D7736CE" w14:textId="4911BD12" w:rsidR="0087285B" w:rsidRDefault="0087285B" w:rsidP="0087285B">
            <w:pPr>
              <w:spacing w:before="160" w:line="276" w:lineRule="auto"/>
            </w:pPr>
            <w:r>
              <w:t>SAR</w:t>
            </w:r>
          </w:p>
        </w:tc>
        <w:tc>
          <w:tcPr>
            <w:tcW w:w="6945" w:type="dxa"/>
          </w:tcPr>
          <w:p w14:paraId="617E7BC3" w14:textId="6D0127AD" w:rsidR="0087285B" w:rsidRDefault="0087285B" w:rsidP="0087285B">
            <w:pPr>
              <w:spacing w:before="160" w:line="276" w:lineRule="auto"/>
              <w:cnfStyle w:val="000000000000" w:firstRow="0" w:lastRow="0" w:firstColumn="0" w:lastColumn="0" w:oddVBand="0" w:evenVBand="0" w:oddHBand="0" w:evenHBand="0" w:firstRowFirstColumn="0" w:firstRowLastColumn="0" w:lastRowFirstColumn="0" w:lastRowLastColumn="0"/>
            </w:pPr>
            <w:r>
              <w:t>IPCC Second Assessment Report</w:t>
            </w:r>
          </w:p>
        </w:tc>
      </w:tr>
      <w:tr w:rsidR="0087285B" w14:paraId="79723C89"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C3CB883" w14:textId="47D01672" w:rsidR="0087285B" w:rsidRDefault="0087285B" w:rsidP="0087285B">
            <w:pPr>
              <w:spacing w:before="160" w:after="160" w:line="276" w:lineRule="auto"/>
            </w:pPr>
            <w:r>
              <w:t>Scope</w:t>
            </w:r>
          </w:p>
        </w:tc>
        <w:tc>
          <w:tcPr>
            <w:tcW w:w="6945" w:type="dxa"/>
          </w:tcPr>
          <w:p w14:paraId="107F29C6" w14:textId="08708D61" w:rsidR="0087285B" w:rsidRDefault="0087285B" w:rsidP="0087285B">
            <w:pPr>
              <w:spacing w:before="160" w:after="160" w:line="276" w:lineRule="auto"/>
              <w:cnfStyle w:val="000000100000" w:firstRow="0" w:lastRow="0" w:firstColumn="0" w:lastColumn="0" w:oddVBand="0" w:evenVBand="0" w:oddHBand="1" w:evenHBand="0" w:firstRowFirstColumn="0" w:firstRowLastColumn="0" w:lastRowFirstColumn="0" w:lastRowLastColumn="0"/>
            </w:pPr>
            <w:r>
              <w:t>Standard practice is to report GHG emissions using different classifications depending on where they arise from, and how they relate to the business. These are termed emission ‘scopes’</w:t>
            </w:r>
          </w:p>
        </w:tc>
      </w:tr>
      <w:tr w:rsidR="0087285B" w14:paraId="6E6C884F"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6247CC36" w14:textId="3DEE405D" w:rsidR="0087285B" w:rsidRDefault="0087285B" w:rsidP="0087285B">
            <w:pPr>
              <w:spacing w:before="160" w:after="160" w:line="276" w:lineRule="auto"/>
            </w:pPr>
            <w:r>
              <w:t>Scope 1 emissions</w:t>
            </w:r>
          </w:p>
        </w:tc>
        <w:tc>
          <w:tcPr>
            <w:tcW w:w="6945" w:type="dxa"/>
          </w:tcPr>
          <w:p w14:paraId="777213BF" w14:textId="293BC587" w:rsidR="0087285B" w:rsidRDefault="0087285B" w:rsidP="0087285B">
            <w:pPr>
              <w:spacing w:before="160" w:after="160" w:line="276" w:lineRule="auto"/>
              <w:cnfStyle w:val="000000000000" w:firstRow="0" w:lastRow="0" w:firstColumn="0" w:lastColumn="0" w:oddVBand="0" w:evenVBand="0" w:oddHBand="0" w:evenHBand="0" w:firstRowFirstColumn="0" w:firstRowLastColumn="0" w:lastRowFirstColumn="0" w:lastRowLastColumn="0"/>
            </w:pPr>
            <w:r>
              <w:t>Direct GHG emissions from sources that are owned or controlled by the business. For dairy farms, this refers to emissions from on-farm methane and nitrous oxide, along with carbon dioxide emissions from the consumption of fuel</w:t>
            </w:r>
            <w:r w:rsidR="00166670">
              <w:t xml:space="preserve"> </w:t>
            </w:r>
          </w:p>
        </w:tc>
      </w:tr>
      <w:tr w:rsidR="0087285B" w14:paraId="7251BCDD"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4B63DB4" w14:textId="318DA470" w:rsidR="0087285B" w:rsidRDefault="0087285B" w:rsidP="0087285B">
            <w:pPr>
              <w:spacing w:before="160" w:after="160" w:line="276" w:lineRule="auto"/>
            </w:pPr>
            <w:r>
              <w:t>Scope 2 emissions</w:t>
            </w:r>
          </w:p>
        </w:tc>
        <w:tc>
          <w:tcPr>
            <w:tcW w:w="6945" w:type="dxa"/>
          </w:tcPr>
          <w:p w14:paraId="6E69F7BB" w14:textId="2EFB5B9C" w:rsidR="0087285B" w:rsidRDefault="0087285B" w:rsidP="0087285B">
            <w:pPr>
              <w:spacing w:before="160" w:after="160" w:line="276" w:lineRule="auto"/>
              <w:cnfStyle w:val="000000100000" w:firstRow="0" w:lastRow="0" w:firstColumn="0" w:lastColumn="0" w:oddVBand="0" w:evenVBand="0" w:oddHBand="1" w:evenHBand="0" w:firstRowFirstColumn="0" w:firstRowLastColumn="0" w:lastRowFirstColumn="0" w:lastRowLastColumn="0"/>
            </w:pPr>
            <w:r>
              <w:t>GHG emissions from the generation of purchased electricity consumed by the business</w:t>
            </w:r>
          </w:p>
        </w:tc>
      </w:tr>
      <w:tr w:rsidR="0087285B" w14:paraId="65143160" w14:textId="77777777" w:rsidTr="001E3484">
        <w:tc>
          <w:tcPr>
            <w:cnfStyle w:val="001000000000" w:firstRow="0" w:lastRow="0" w:firstColumn="1" w:lastColumn="0" w:oddVBand="0" w:evenVBand="0" w:oddHBand="0" w:evenHBand="0" w:firstRowFirstColumn="0" w:firstRowLastColumn="0" w:lastRowFirstColumn="0" w:lastRowLastColumn="0"/>
            <w:tcW w:w="2122" w:type="dxa"/>
          </w:tcPr>
          <w:p w14:paraId="44C754E8" w14:textId="211899AA" w:rsidR="0087285B" w:rsidRDefault="0087285B" w:rsidP="0087285B">
            <w:pPr>
              <w:spacing w:before="160" w:after="160" w:line="276" w:lineRule="auto"/>
            </w:pPr>
            <w:r>
              <w:t>Scope 3 emissions</w:t>
            </w:r>
          </w:p>
        </w:tc>
        <w:tc>
          <w:tcPr>
            <w:tcW w:w="6945" w:type="dxa"/>
          </w:tcPr>
          <w:p w14:paraId="2E113467" w14:textId="4B775AB9" w:rsidR="0087285B" w:rsidRDefault="0087285B" w:rsidP="0087285B">
            <w:pPr>
              <w:spacing w:before="160" w:after="160" w:line="276" w:lineRule="auto"/>
              <w:cnfStyle w:val="000000000000" w:firstRow="0" w:lastRow="0" w:firstColumn="0" w:lastColumn="0" w:oddVBand="0" w:evenVBand="0" w:oddHBand="0" w:evenHBand="0" w:firstRowFirstColumn="0" w:firstRowLastColumn="0" w:lastRowFirstColumn="0" w:lastRowLastColumn="0"/>
            </w:pPr>
            <w:r>
              <w:t xml:space="preserve">GHG emissions that are a consequence of the activities of the business, but that occur from sources not owned or controlled by the </w:t>
            </w:r>
            <w:r w:rsidR="00F1183E">
              <w:t>business</w:t>
            </w:r>
            <w:r>
              <w:t xml:space="preserve">. For dairy farms, these are GHG emissions from the production of key farm inputs (i.e. pre-farm embedded emissions), extraction/refinement of fuel, and indirect loss of electricity through transmission and distribution in the grid </w:t>
            </w:r>
          </w:p>
        </w:tc>
      </w:tr>
      <w:tr w:rsidR="0087285B" w14:paraId="551AB2F6" w14:textId="77777777" w:rsidTr="001E3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B8E90B" w14:textId="1D459E84" w:rsidR="0087285B" w:rsidRDefault="0087285B" w:rsidP="0087285B">
            <w:pPr>
              <w:spacing w:before="160" w:after="160" w:line="276" w:lineRule="auto"/>
            </w:pPr>
            <w:r>
              <w:t xml:space="preserve">Waste </w:t>
            </w:r>
          </w:p>
        </w:tc>
        <w:tc>
          <w:tcPr>
            <w:tcW w:w="6945" w:type="dxa"/>
          </w:tcPr>
          <w:p w14:paraId="29D114E1" w14:textId="0EC9252C" w:rsidR="0087285B" w:rsidRDefault="0087285B" w:rsidP="0087285B">
            <w:pPr>
              <w:spacing w:before="160" w:after="160" w:line="276" w:lineRule="auto"/>
              <w:cnfStyle w:val="000000100000" w:firstRow="0" w:lastRow="0" w:firstColumn="0" w:lastColumn="0" w:oddVBand="0" w:evenVBand="0" w:oddHBand="1" w:evenHBand="0" w:firstRowFirstColumn="0" w:firstRowLastColumn="0" w:lastRowFirstColumn="0" w:lastRowLastColumn="0"/>
            </w:pPr>
            <w:r>
              <w:t>Waste is used in this manual when referring to the sum of urine and dung. At times, manure is used as an alternative term for waste. Unless stipulated, waste means the sum of urine and dung deposition</w:t>
            </w:r>
          </w:p>
        </w:tc>
      </w:tr>
    </w:tbl>
    <w:p w14:paraId="3B1FE619" w14:textId="77777777" w:rsidR="007C0B4A" w:rsidRDefault="007C0B4A" w:rsidP="00194937">
      <w:pPr>
        <w:spacing w:before="160" w:line="276" w:lineRule="auto"/>
        <w:sectPr w:rsidR="007C0B4A">
          <w:pgSz w:w="11906" w:h="16838"/>
          <w:pgMar w:top="1440" w:right="1440" w:bottom="1440" w:left="1440" w:header="708" w:footer="708" w:gutter="0"/>
          <w:cols w:space="708"/>
          <w:docGrid w:linePitch="360"/>
        </w:sectPr>
      </w:pPr>
    </w:p>
    <w:p w14:paraId="553AC794" w14:textId="4ADE96BD" w:rsidR="000A7FDA" w:rsidRDefault="00A45CC5" w:rsidP="00623C4F">
      <w:pPr>
        <w:pStyle w:val="Heading1"/>
        <w:numPr>
          <w:ilvl w:val="0"/>
          <w:numId w:val="33"/>
        </w:numPr>
        <w:spacing w:before="160" w:after="160" w:line="276" w:lineRule="auto"/>
        <w:ind w:left="567" w:hanging="567"/>
      </w:pPr>
      <w:bookmarkStart w:id="3" w:name="_Toc116988446"/>
      <w:r>
        <w:lastRenderedPageBreak/>
        <w:t xml:space="preserve">Benchmarking </w:t>
      </w:r>
      <w:r w:rsidR="00D31A7B">
        <w:t>of</w:t>
      </w:r>
      <w:r>
        <w:t xml:space="preserve"> DairyBase results</w:t>
      </w:r>
      <w:bookmarkEnd w:id="3"/>
    </w:p>
    <w:p w14:paraId="12E7357E" w14:textId="77BD6F64" w:rsidR="0097430D" w:rsidRDefault="00A50201" w:rsidP="00194937">
      <w:pPr>
        <w:spacing w:before="160" w:line="276" w:lineRule="auto"/>
      </w:pPr>
      <w:r>
        <w:t>Benchmarking your farm data</w:t>
      </w:r>
      <w:r w:rsidR="00175F36">
        <w:t xml:space="preserve"> can be a good way of </w:t>
      </w:r>
      <w:r w:rsidR="001931C1">
        <w:t>reviewing</w:t>
      </w:r>
      <w:r w:rsidR="00175F36">
        <w:t xml:space="preserve"> how your farm’s GHG emissions are tracking. This could be comparing results </w:t>
      </w:r>
      <w:r w:rsidR="00744F9A">
        <w:t xml:space="preserve">for your own farm over several years, or </w:t>
      </w:r>
      <w:r w:rsidR="00BF3CEB">
        <w:t>between your farm and others in your region</w:t>
      </w:r>
      <w:r w:rsidR="00744F9A">
        <w:t xml:space="preserve">. </w:t>
      </w:r>
      <w:r w:rsidR="00BF3CEB">
        <w:t>T</w:t>
      </w:r>
      <w:r w:rsidR="009D3A93">
        <w:t>his section of the manual contains a range of analys</w:t>
      </w:r>
      <w:r w:rsidR="00BE645D">
        <w:t>e</w:t>
      </w:r>
      <w:r w:rsidR="009D3A93">
        <w:t xml:space="preserve">s of the </w:t>
      </w:r>
      <w:r w:rsidR="00BE645D">
        <w:t>GHG emissions estimates from</w:t>
      </w:r>
      <w:r w:rsidR="00B5446C">
        <w:t xml:space="preserve"> within </w:t>
      </w:r>
      <w:r w:rsidR="009E48F1">
        <w:t xml:space="preserve">Dairy Australia’s </w:t>
      </w:r>
      <w:r w:rsidR="00B5446C">
        <w:t>DairyBase</w:t>
      </w:r>
      <w:r w:rsidR="009E48F1">
        <w:t xml:space="preserve"> program (</w:t>
      </w:r>
      <w:hyperlink r:id="rId12" w:history="1">
        <w:r w:rsidR="00913C33" w:rsidRPr="0054312B">
          <w:rPr>
            <w:rStyle w:val="Hyperlink"/>
          </w:rPr>
          <w:t>https://www.dairyaustralia.com.au/farm-business/dairybase</w:t>
        </w:r>
      </w:hyperlink>
      <w:r w:rsidR="00913C33">
        <w:t>)</w:t>
      </w:r>
      <w:r w:rsidR="00B5446C">
        <w:t xml:space="preserve">. These </w:t>
      </w:r>
      <w:r w:rsidR="00171BC1">
        <w:t xml:space="preserve">are datasets from the </w:t>
      </w:r>
      <w:r w:rsidR="00C500EC">
        <w:t>Dairy Farm Monitor Project</w:t>
      </w:r>
      <w:r w:rsidR="009D3A93">
        <w:t xml:space="preserve"> (DFPM)</w:t>
      </w:r>
      <w:r w:rsidR="00894E19">
        <w:t xml:space="preserve"> </w:t>
      </w:r>
      <w:r w:rsidR="00A17F27">
        <w:t>for the years 2</w:t>
      </w:r>
      <w:r w:rsidR="00C500EC">
        <w:t>006/07 to 2020/21</w:t>
      </w:r>
      <w:r w:rsidR="00A17F27">
        <w:t xml:space="preserve"> inclusive</w:t>
      </w:r>
      <w:r w:rsidR="00C500EC">
        <w:t xml:space="preserve">. </w:t>
      </w:r>
      <w:r w:rsidR="00C4799F">
        <w:t xml:space="preserve">While DairyBase contains over 3,000 DFMP datasets, this review was restricted to </w:t>
      </w:r>
      <w:r w:rsidR="00C45435">
        <w:t>the 1,</w:t>
      </w:r>
      <w:r w:rsidR="009565D6">
        <w:t>7</w:t>
      </w:r>
      <w:r w:rsidR="00C45435">
        <w:t>7</w:t>
      </w:r>
      <w:r w:rsidR="00323D28">
        <w:t>5</w:t>
      </w:r>
      <w:r w:rsidR="00C45435">
        <w:t xml:space="preserve"> </w:t>
      </w:r>
      <w:r w:rsidR="00C4799F">
        <w:t xml:space="preserve">datasets which contained a </w:t>
      </w:r>
      <w:r w:rsidR="004E574A">
        <w:t xml:space="preserve">complete </w:t>
      </w:r>
      <w:r w:rsidR="00A07AA0">
        <w:t xml:space="preserve">list of realistic input data. For example, </w:t>
      </w:r>
      <w:r w:rsidR="00734734">
        <w:t>datasets with missing electricity and/or diesel consumption data were excluded</w:t>
      </w:r>
      <w:r w:rsidR="00535ED2">
        <w:t xml:space="preserve"> from the analysis</w:t>
      </w:r>
      <w:r w:rsidR="00C45435">
        <w:t xml:space="preserve"> (e.g. some of the </w:t>
      </w:r>
      <w:r w:rsidR="009565D6">
        <w:t xml:space="preserve">earlier </w:t>
      </w:r>
      <w:r w:rsidR="00C45435">
        <w:t>years</w:t>
      </w:r>
      <w:r w:rsidR="00A00665">
        <w:t xml:space="preserve"> </w:t>
      </w:r>
      <w:r w:rsidR="00C45435">
        <w:t>for T</w:t>
      </w:r>
      <w:r w:rsidR="00A00665">
        <w:t>asmania</w:t>
      </w:r>
      <w:r w:rsidR="00C45435">
        <w:t>)</w:t>
      </w:r>
      <w:r w:rsidR="00734734">
        <w:t>.</w:t>
      </w:r>
      <w:r w:rsidR="0019396A">
        <w:t xml:space="preserve"> </w:t>
      </w:r>
      <w:r w:rsidR="00734734">
        <w:t xml:space="preserve">Likewise, datasets with </w:t>
      </w:r>
      <w:r w:rsidR="00214361">
        <w:t>N fertiliser inputs which appeared to be total tonnes, as opposed to kg N/ha</w:t>
      </w:r>
      <w:r w:rsidR="00606EB3">
        <w:t xml:space="preserve">, </w:t>
      </w:r>
      <w:r w:rsidR="00214361">
        <w:t>were also excluded</w:t>
      </w:r>
      <w:r w:rsidR="009565D6">
        <w:t xml:space="preserve">. </w:t>
      </w:r>
      <w:r w:rsidR="000A7C2F">
        <w:t>With the upgrade of</w:t>
      </w:r>
      <w:r w:rsidR="00864033">
        <w:t xml:space="preserve"> DairyBase with new estimates for carbon stored in tree vegetation, the legacy data in </w:t>
      </w:r>
      <w:r w:rsidR="006E0B83">
        <w:t xml:space="preserve">DairyBase data </w:t>
      </w:r>
      <w:r w:rsidR="00445193">
        <w:t>did</w:t>
      </w:r>
      <w:r w:rsidR="006E0B83">
        <w:t xml:space="preserve"> not include </w:t>
      </w:r>
      <w:r w:rsidR="00864033">
        <w:t>the</w:t>
      </w:r>
      <w:r w:rsidR="0080159C">
        <w:t xml:space="preserve"> age of tree</w:t>
      </w:r>
      <w:r w:rsidR="00864033">
        <w:t xml:space="preserve"> plantings </w:t>
      </w:r>
      <w:r w:rsidR="0080159C">
        <w:t>as well as a simplification of the tree species present on farm</w:t>
      </w:r>
      <w:r w:rsidR="00A1059F">
        <w:t xml:space="preserve"> (see </w:t>
      </w:r>
      <w:r w:rsidR="00A1059F">
        <w:rPr>
          <w:i/>
          <w:iCs/>
        </w:rPr>
        <w:t xml:space="preserve">Step Eight </w:t>
      </w:r>
      <w:r w:rsidR="00A1059F">
        <w:t>in section 5.3)</w:t>
      </w:r>
      <w:r w:rsidR="0080159C">
        <w:t xml:space="preserve">. </w:t>
      </w:r>
      <w:r w:rsidR="00036380">
        <w:t xml:space="preserve">Therefore, </w:t>
      </w:r>
      <w:r w:rsidR="009F18BD">
        <w:t>estimating</w:t>
      </w:r>
      <w:r w:rsidR="00036380">
        <w:t xml:space="preserve"> carbon sequestration in trees for these </w:t>
      </w:r>
      <w:r w:rsidR="000F0DC4">
        <w:t>1,775</w:t>
      </w:r>
      <w:r w:rsidR="00036380">
        <w:t xml:space="preserve"> datasets</w:t>
      </w:r>
      <w:r w:rsidR="009F18BD">
        <w:t xml:space="preserve"> was impossible</w:t>
      </w:r>
      <w:r w:rsidR="00036380">
        <w:t>.</w:t>
      </w:r>
      <w:r w:rsidR="009F18BD">
        <w:t xml:space="preserve"> Hence</w:t>
      </w:r>
      <w:r w:rsidR="000F0DC4">
        <w:t>,</w:t>
      </w:r>
      <w:r w:rsidR="00B37EE4">
        <w:t xml:space="preserve"> </w:t>
      </w:r>
      <w:r w:rsidR="00036380">
        <w:t xml:space="preserve">all results presented in this section 5.8 do not contain any potential reduction in </w:t>
      </w:r>
      <w:r w:rsidR="00614667">
        <w:t xml:space="preserve">net </w:t>
      </w:r>
      <w:r w:rsidR="00036380">
        <w:t xml:space="preserve">GHG emissions with </w:t>
      </w:r>
      <w:r w:rsidR="00614667">
        <w:t xml:space="preserve">sequestering carbon in </w:t>
      </w:r>
      <w:r w:rsidR="00036380">
        <w:t>tree plantings.</w:t>
      </w:r>
      <w:r w:rsidR="0019396A">
        <w:t xml:space="preserve"> </w:t>
      </w:r>
    </w:p>
    <w:p w14:paraId="7BEE1A6C" w14:textId="69476056" w:rsidR="0097430D" w:rsidRDefault="009565D6" w:rsidP="00194937">
      <w:pPr>
        <w:spacing w:before="160" w:line="276" w:lineRule="auto"/>
      </w:pPr>
      <w:r>
        <w:t>Figure 2</w:t>
      </w:r>
      <w:r w:rsidR="00E5197E">
        <w:t>4</w:t>
      </w:r>
      <w:r>
        <w:t xml:space="preserve"> illustrates </w:t>
      </w:r>
      <w:r w:rsidR="00F31120">
        <w:t>the number</w:t>
      </w:r>
      <w:r>
        <w:t xml:space="preserve"> datasets for each region</w:t>
      </w:r>
      <w:r w:rsidR="00B00AC0">
        <w:t>/state</w:t>
      </w:r>
      <w:r w:rsidR="00436846">
        <w:t xml:space="preserve"> that met the criteria of suitability </w:t>
      </w:r>
      <w:r w:rsidR="00614667">
        <w:t xml:space="preserve">as </w:t>
      </w:r>
      <w:r w:rsidR="00436846">
        <w:t>mentioned above</w:t>
      </w:r>
      <w:r w:rsidR="00B00AC0">
        <w:t>.</w:t>
      </w:r>
      <w:r w:rsidR="0097430D">
        <w:t xml:space="preserve"> </w:t>
      </w:r>
      <w:r w:rsidR="00477E84">
        <w:t>The DFMP commenced in the 2006/07 financial year</w:t>
      </w:r>
      <w:r w:rsidR="00436846">
        <w:t xml:space="preserve"> in the three dairying regions of Victoria</w:t>
      </w:r>
      <w:r w:rsidR="00634595">
        <w:t xml:space="preserve">. </w:t>
      </w:r>
      <w:r w:rsidR="00F510CC">
        <w:t xml:space="preserve">New South Wales and </w:t>
      </w:r>
      <w:r w:rsidR="00292548">
        <w:t>S</w:t>
      </w:r>
      <w:r w:rsidR="00232761">
        <w:t xml:space="preserve">outh </w:t>
      </w:r>
      <w:r w:rsidR="00292548">
        <w:t>A</w:t>
      </w:r>
      <w:r w:rsidR="00232761">
        <w:t>ustralia commenced in</w:t>
      </w:r>
      <w:r w:rsidR="00292548">
        <w:t xml:space="preserve"> 2012/13</w:t>
      </w:r>
      <w:r w:rsidR="00F510CC">
        <w:t xml:space="preserve"> (although there was a single dataset for </w:t>
      </w:r>
      <w:r w:rsidR="00682A14">
        <w:t>Nth NSW for 2011/12 included)</w:t>
      </w:r>
      <w:r w:rsidR="00292548">
        <w:t xml:space="preserve">, with Tasmania and Western Australia </w:t>
      </w:r>
      <w:r w:rsidR="003D38F2">
        <w:t>one</w:t>
      </w:r>
      <w:r w:rsidR="00232761">
        <w:t xml:space="preserve"> year later </w:t>
      </w:r>
      <w:r w:rsidR="00292548">
        <w:t xml:space="preserve">in </w:t>
      </w:r>
      <w:r w:rsidR="00753AE1">
        <w:t>2013/14. As shown in Figure 2</w:t>
      </w:r>
      <w:r w:rsidR="00E5197E">
        <w:t>4</w:t>
      </w:r>
      <w:r w:rsidR="00753AE1">
        <w:t xml:space="preserve">, there was a rapid decline in </w:t>
      </w:r>
      <w:r w:rsidR="00001994">
        <w:t>the number of datasets</w:t>
      </w:r>
      <w:r w:rsidR="00753AE1">
        <w:t xml:space="preserve"> in 2016/17,</w:t>
      </w:r>
      <w:r w:rsidR="00001994">
        <w:t xml:space="preserve"> due to </w:t>
      </w:r>
      <w:r w:rsidR="00896201">
        <w:t xml:space="preserve">~ 80 datasets </w:t>
      </w:r>
      <w:r w:rsidR="0019396A">
        <w:t>missing</w:t>
      </w:r>
      <w:r w:rsidR="00896201">
        <w:t xml:space="preserve"> electricity and fuel consumption data</w:t>
      </w:r>
      <w:r w:rsidR="0070406C">
        <w:t>,</w:t>
      </w:r>
      <w:r w:rsidR="00896201">
        <w:t xml:space="preserve"> thus </w:t>
      </w:r>
      <w:r w:rsidR="00CD2192">
        <w:t>fail</w:t>
      </w:r>
      <w:r w:rsidR="0070406C">
        <w:t>ing</w:t>
      </w:r>
      <w:r w:rsidR="00CD2192">
        <w:t xml:space="preserve"> to meet</w:t>
      </w:r>
      <w:r w:rsidR="00DD390E">
        <w:t xml:space="preserve"> the criteria for this review. </w:t>
      </w:r>
    </w:p>
    <w:p w14:paraId="15E8B810" w14:textId="32611199" w:rsidR="009250C6" w:rsidRDefault="0097430D" w:rsidP="00146031">
      <w:pPr>
        <w:spacing w:before="160" w:line="276" w:lineRule="auto"/>
        <w:jc w:val="center"/>
      </w:pPr>
      <w:r>
        <w:rPr>
          <w:noProof/>
        </w:rPr>
        <w:drawing>
          <wp:inline distT="0" distB="0" distL="0" distR="0" wp14:anchorId="614E801D" wp14:editId="3585CD0F">
            <wp:extent cx="4690753" cy="281406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7241" cy="2823953"/>
                    </a:xfrm>
                    <a:prstGeom prst="rect">
                      <a:avLst/>
                    </a:prstGeom>
                    <a:noFill/>
                  </pic:spPr>
                </pic:pic>
              </a:graphicData>
            </a:graphic>
          </wp:inline>
        </w:drawing>
      </w:r>
    </w:p>
    <w:p w14:paraId="10ABF882" w14:textId="2B2C27A3" w:rsidR="00164204" w:rsidRDefault="002F1AE4" w:rsidP="00164204">
      <w:pPr>
        <w:spacing w:line="276" w:lineRule="auto"/>
      </w:pPr>
      <w:r>
        <w:rPr>
          <w:b/>
          <w:bCs/>
        </w:rPr>
        <w:t>Figure 2</w:t>
      </w:r>
      <w:r w:rsidR="00E5197E">
        <w:rPr>
          <w:b/>
          <w:bCs/>
        </w:rPr>
        <w:t>4</w:t>
      </w:r>
      <w:r>
        <w:rPr>
          <w:b/>
          <w:bCs/>
        </w:rPr>
        <w:t>.</w:t>
      </w:r>
      <w:r w:rsidR="0019396A">
        <w:rPr>
          <w:b/>
          <w:bCs/>
        </w:rPr>
        <w:t xml:space="preserve"> </w:t>
      </w:r>
      <w:r w:rsidR="00164204">
        <w:t xml:space="preserve">Number of Dairy Farm Monitor Project datasets </w:t>
      </w:r>
      <w:r w:rsidR="007C098F">
        <w:t xml:space="preserve">for </w:t>
      </w:r>
      <w:r w:rsidR="00164204">
        <w:t xml:space="preserve">each year from each dairy region where all the data was included in DairyBase. </w:t>
      </w:r>
      <w:r w:rsidR="00164204" w:rsidRPr="000A7E94">
        <w:t xml:space="preserve">Note </w:t>
      </w:r>
      <w:r w:rsidR="00BC3979">
        <w:t>the year reflects the second half of the financial year, so 2007 reflects 2006/07.</w:t>
      </w:r>
      <w:r w:rsidR="00D65186">
        <w:t xml:space="preserve"> No QLD data was assessed due to missing electricity and diesel </w:t>
      </w:r>
      <w:r w:rsidR="00F74A39">
        <w:t xml:space="preserve">consumption data. </w:t>
      </w:r>
    </w:p>
    <w:p w14:paraId="7E74095B" w14:textId="2BA3D0AE" w:rsidR="00146031" w:rsidRDefault="0075550A" w:rsidP="00194937">
      <w:pPr>
        <w:spacing w:before="160" w:line="276" w:lineRule="auto"/>
      </w:pPr>
      <w:r>
        <w:lastRenderedPageBreak/>
        <w:t xml:space="preserve">Total farm milk production was </w:t>
      </w:r>
      <w:r w:rsidR="00746C65">
        <w:t>assessed</w:t>
      </w:r>
      <w:r>
        <w:t xml:space="preserve"> against </w:t>
      </w:r>
      <w:r w:rsidR="00632570">
        <w:t>net farm GHG emissions</w:t>
      </w:r>
      <w:r w:rsidR="002B1CDB">
        <w:t xml:space="preserve"> attributed to milk production (i.e. removal of GHG emissions attributed to meat production deducted from net farm GHG emissions</w:t>
      </w:r>
      <w:r w:rsidR="00B241F1">
        <w:t>)</w:t>
      </w:r>
      <w:r w:rsidR="00632570">
        <w:t xml:space="preserve">, using a </w:t>
      </w:r>
      <w:r w:rsidR="004306D5">
        <w:t>line</w:t>
      </w:r>
      <w:r w:rsidR="00CD2192">
        <w:t>a</w:t>
      </w:r>
      <w:r w:rsidR="004306D5">
        <w:t>r regression analysis (</w:t>
      </w:r>
      <w:r w:rsidR="004A52CB">
        <w:t>y=</w:t>
      </w:r>
      <w:proofErr w:type="spellStart"/>
      <w:r w:rsidR="00E724AF">
        <w:t>Bx</w:t>
      </w:r>
      <w:r w:rsidR="004A52CB">
        <w:t>+a</w:t>
      </w:r>
      <w:proofErr w:type="spellEnd"/>
      <w:r w:rsidR="009A0EFD">
        <w:t>)</w:t>
      </w:r>
      <w:r w:rsidR="00632570">
        <w:t xml:space="preserve">. The slope of the regression </w:t>
      </w:r>
      <w:r w:rsidR="00E724AF">
        <w:t xml:space="preserve">(B value </w:t>
      </w:r>
      <w:r w:rsidR="00274876">
        <w:t>in the regression equation)</w:t>
      </w:r>
      <w:r w:rsidR="00BA4B76">
        <w:t xml:space="preserve"> was </w:t>
      </w:r>
      <w:r w:rsidR="005B4E8B">
        <w:t>0.92</w:t>
      </w:r>
      <w:r w:rsidR="00222609">
        <w:t xml:space="preserve">, </w:t>
      </w:r>
      <w:r w:rsidR="00F74A39">
        <w:t>with</w:t>
      </w:r>
      <w:r w:rsidR="00222609">
        <w:t xml:space="preserve"> </w:t>
      </w:r>
      <w:r w:rsidR="000D1FE3">
        <w:t>a</w:t>
      </w:r>
      <w:r w:rsidR="00222609">
        <w:t xml:space="preserve"> residual </w:t>
      </w:r>
      <w:r w:rsidR="000D1FE3">
        <w:t>‘</w:t>
      </w:r>
      <w:r w:rsidR="00222609">
        <w:t>a</w:t>
      </w:r>
      <w:r w:rsidR="000D1FE3">
        <w:t>’</w:t>
      </w:r>
      <w:r w:rsidR="00222609">
        <w:t xml:space="preserve"> value</w:t>
      </w:r>
      <w:r w:rsidR="000D1FE3">
        <w:t xml:space="preserve"> of</w:t>
      </w:r>
      <w:r w:rsidR="00222609">
        <w:t xml:space="preserve"> 13</w:t>
      </w:r>
      <w:r w:rsidR="00074EA2">
        <w:t xml:space="preserve"> (Figure 25)</w:t>
      </w:r>
      <w:r w:rsidR="00222609">
        <w:t xml:space="preserve">. </w:t>
      </w:r>
      <w:r w:rsidR="00A05B07">
        <w:t xml:space="preserve">The </w:t>
      </w:r>
      <w:r w:rsidR="00274876">
        <w:t>co-efficien</w:t>
      </w:r>
      <w:r w:rsidR="00A05B07">
        <w:t>t</w:t>
      </w:r>
      <w:r w:rsidR="00274876">
        <w:t xml:space="preserve"> of determination (R</w:t>
      </w:r>
      <w:r w:rsidR="00274876" w:rsidRPr="00BA4B76">
        <w:rPr>
          <w:vertAlign w:val="superscript"/>
        </w:rPr>
        <w:t>2</w:t>
      </w:r>
      <w:r w:rsidR="00274876">
        <w:t>; where an R</w:t>
      </w:r>
      <w:r w:rsidR="00274876" w:rsidRPr="00BA4B76">
        <w:rPr>
          <w:vertAlign w:val="superscript"/>
        </w:rPr>
        <w:t>2</w:t>
      </w:r>
      <w:r w:rsidR="00274876">
        <w:t xml:space="preserve"> of 1 </w:t>
      </w:r>
      <w:r w:rsidR="00BA4B76">
        <w:t xml:space="preserve">indicates </w:t>
      </w:r>
      <w:r w:rsidR="001343B2">
        <w:t>t</w:t>
      </w:r>
      <w:r w:rsidR="00BA4B76">
        <w:t>he regression prediction perfectly fits the data)</w:t>
      </w:r>
      <w:r w:rsidR="004A52CB">
        <w:t xml:space="preserve"> was </w:t>
      </w:r>
      <w:r w:rsidR="00774D0B">
        <w:t>0.9</w:t>
      </w:r>
      <w:r w:rsidR="005B4E8B">
        <w:t>7</w:t>
      </w:r>
      <w:r w:rsidR="00774D0B">
        <w:t xml:space="preserve">, thus indicating </w:t>
      </w:r>
      <w:r w:rsidR="004A4FB4">
        <w:t xml:space="preserve">that </w:t>
      </w:r>
      <w:r w:rsidR="00774D0B">
        <w:t xml:space="preserve">this regression equation is </w:t>
      </w:r>
      <w:r w:rsidR="00103879">
        <w:t>a</w:t>
      </w:r>
      <w:r w:rsidR="00192B99">
        <w:t xml:space="preserve">n excellent </w:t>
      </w:r>
      <w:r w:rsidR="00103879">
        <w:t>predictor of net GHG emissions from milk production</w:t>
      </w:r>
      <w:r w:rsidR="00814702">
        <w:t xml:space="preserve"> (Figure</w:t>
      </w:r>
      <w:r w:rsidR="00F409E4">
        <w:t xml:space="preserve"> 25</w:t>
      </w:r>
      <w:r w:rsidR="00814702">
        <w:t>)</w:t>
      </w:r>
      <w:r w:rsidR="00103879">
        <w:t>.</w:t>
      </w:r>
      <w:r w:rsidR="00667073">
        <w:t xml:space="preserve"> Therefore, we can have high confidence that if a farm’s milk production was 5,000 t FPCM/annum, their approx. GHG emissions could be estimated as 5,000 x 0.92 + 13 = 4,613 t CO</w:t>
      </w:r>
      <w:r w:rsidR="00667073" w:rsidRPr="004A4FB4">
        <w:rPr>
          <w:vertAlign w:val="subscript"/>
        </w:rPr>
        <w:t>2</w:t>
      </w:r>
      <w:r w:rsidR="00667073">
        <w:t>e/annum.</w:t>
      </w:r>
    </w:p>
    <w:p w14:paraId="2D0C177B" w14:textId="07DCCB36" w:rsidR="00A53619" w:rsidRDefault="005B4E8B" w:rsidP="00194937">
      <w:pPr>
        <w:spacing w:before="160" w:line="276" w:lineRule="auto"/>
      </w:pPr>
      <w:r>
        <w:t xml:space="preserve">However, </w:t>
      </w:r>
      <w:r w:rsidR="00EB52D3">
        <w:t xml:space="preserve">the orange dot farm datasets in </w:t>
      </w:r>
      <w:r w:rsidR="007615CA">
        <w:t xml:space="preserve">Figure 25 </w:t>
      </w:r>
      <w:r w:rsidR="00EB52D3">
        <w:t>represent datasets</w:t>
      </w:r>
      <w:r w:rsidR="00E863FA">
        <w:t xml:space="preserve"> </w:t>
      </w:r>
      <w:r w:rsidR="007615CA">
        <w:t xml:space="preserve">where the standard residual is &gt; </w:t>
      </w:r>
      <w:r w:rsidR="00FD377E">
        <w:t>2</w:t>
      </w:r>
      <w:r w:rsidR="00EB52D3">
        <w:t xml:space="preserve">, </w:t>
      </w:r>
      <w:r w:rsidR="00FD377E">
        <w:t>indicating the difference between their estimated GHG emissions, based on DairyBase, and that predicted, as derived by the regressi</w:t>
      </w:r>
      <w:r w:rsidR="007F4BB3">
        <w:t>on</w:t>
      </w:r>
      <w:r w:rsidR="00FD377E">
        <w:t xml:space="preserve"> equation, was more than 2 standard deviations away from the mean</w:t>
      </w:r>
      <w:r w:rsidR="00E863FA">
        <w:t xml:space="preserve">. </w:t>
      </w:r>
      <w:r w:rsidR="007F4BB3">
        <w:t xml:space="preserve">Orange dots that sit above the blue regressions line indicate </w:t>
      </w:r>
      <w:r w:rsidR="008C4F32">
        <w:t>their GHG emissions estimated in DairyBase is greater than predicted from</w:t>
      </w:r>
      <w:r w:rsidR="002D62E8">
        <w:t xml:space="preserve"> annual milk production</w:t>
      </w:r>
      <w:r w:rsidR="00F307EE">
        <w:t xml:space="preserve">. This </w:t>
      </w:r>
      <w:r w:rsidR="00FA24D3">
        <w:t>could</w:t>
      </w:r>
      <w:r w:rsidR="008C4F32">
        <w:t xml:space="preserve"> </w:t>
      </w:r>
      <w:r w:rsidR="00191F1E">
        <w:t xml:space="preserve">potentially </w:t>
      </w:r>
      <w:r w:rsidR="008C4F32">
        <w:t>indic</w:t>
      </w:r>
      <w:r w:rsidR="00334A6D">
        <w:t>ation</w:t>
      </w:r>
      <w:r w:rsidR="002D62E8">
        <w:t xml:space="preserve"> inefficiencies </w:t>
      </w:r>
      <w:r w:rsidR="00334A6D">
        <w:t xml:space="preserve">on </w:t>
      </w:r>
      <w:r w:rsidR="002D62E8">
        <w:t>farm</w:t>
      </w:r>
      <w:r w:rsidR="00334A6D">
        <w:t xml:space="preserve"> (i.e. lower conversion of N fertiliser into grass and then milk). Alternatively, </w:t>
      </w:r>
      <w:r w:rsidR="00761A71">
        <w:t>less meat was sold than expected</w:t>
      </w:r>
      <w:r w:rsidR="00FA24D3">
        <w:t xml:space="preserve">, resulting in </w:t>
      </w:r>
      <w:r w:rsidR="00A07FA8">
        <w:t>DairyBase attribut</w:t>
      </w:r>
      <w:r w:rsidR="00EC3011">
        <w:t>ing</w:t>
      </w:r>
      <w:r w:rsidR="00A07FA8">
        <w:t xml:space="preserve"> </w:t>
      </w:r>
      <w:r w:rsidR="00761A71">
        <w:t>a greater proportion of GHG emissions to milk production</w:t>
      </w:r>
      <w:r w:rsidR="002D62E8">
        <w:t xml:space="preserve">. </w:t>
      </w:r>
      <w:r w:rsidR="007A50E3">
        <w:t xml:space="preserve">Conversely, </w:t>
      </w:r>
      <w:r w:rsidR="00FB43F9">
        <w:t xml:space="preserve">orange </w:t>
      </w:r>
      <w:r w:rsidR="007A50E3">
        <w:t xml:space="preserve">dots below the </w:t>
      </w:r>
      <w:r w:rsidR="00FB43F9">
        <w:t>regression line indicate their GHG emission estimate in DairyBase was lower than predicted based on milk production</w:t>
      </w:r>
      <w:r w:rsidR="00BA2C94">
        <w:t xml:space="preserve">. This could be a result of </w:t>
      </w:r>
      <w:r w:rsidR="00FB43F9">
        <w:t>increased efficiency on farm</w:t>
      </w:r>
      <w:r w:rsidR="002E2001">
        <w:t xml:space="preserve"> and/or producing more meat than expected</w:t>
      </w:r>
      <w:r w:rsidR="00A1727C">
        <w:t xml:space="preserve">, thus DairyBase directed </w:t>
      </w:r>
      <w:r w:rsidR="002E2001">
        <w:t xml:space="preserve">more GHG emissions </w:t>
      </w:r>
      <w:r w:rsidR="00DF4E2D">
        <w:t>towards mea</w:t>
      </w:r>
      <w:r w:rsidR="002E2001">
        <w:t>t production</w:t>
      </w:r>
      <w:r w:rsidR="00DF4E2D">
        <w:t xml:space="preserve"> (Figure 25)</w:t>
      </w:r>
      <w:r w:rsidR="002E2001">
        <w:t>.</w:t>
      </w:r>
      <w:r w:rsidR="0019396A">
        <w:t xml:space="preserve"> </w:t>
      </w:r>
      <w:r w:rsidR="008C4F32">
        <w:t xml:space="preserve"> </w:t>
      </w:r>
    </w:p>
    <w:p w14:paraId="0F003959" w14:textId="6E6FCEA7" w:rsidR="00A53619" w:rsidRDefault="004E635A" w:rsidP="00194937">
      <w:pPr>
        <w:spacing w:before="160" w:line="276" w:lineRule="auto"/>
        <w:rPr>
          <w:noProof/>
        </w:rPr>
      </w:pPr>
      <w:r w:rsidRPr="004E635A">
        <w:rPr>
          <w:noProof/>
        </w:rPr>
        <w:t xml:space="preserve"> </w:t>
      </w:r>
      <w:r w:rsidR="00AD4AE3" w:rsidRPr="00AD4AE3">
        <w:rPr>
          <w:noProof/>
        </w:rPr>
        <w:drawing>
          <wp:inline distT="0" distB="0" distL="0" distR="0" wp14:anchorId="42C6FE69" wp14:editId="77F85F26">
            <wp:extent cx="5731510" cy="324104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41040"/>
                    </a:xfrm>
                    <a:prstGeom prst="rect">
                      <a:avLst/>
                    </a:prstGeom>
                  </pic:spPr>
                </pic:pic>
              </a:graphicData>
            </a:graphic>
          </wp:inline>
        </w:drawing>
      </w:r>
    </w:p>
    <w:p w14:paraId="5257CE1C" w14:textId="11304FB4" w:rsidR="00001352" w:rsidRDefault="00001352" w:rsidP="00194937">
      <w:pPr>
        <w:spacing w:before="160" w:line="276" w:lineRule="auto"/>
        <w:rPr>
          <w:noProof/>
        </w:rPr>
      </w:pPr>
      <w:r>
        <w:rPr>
          <w:b/>
          <w:bCs/>
          <w:noProof/>
        </w:rPr>
        <w:t xml:space="preserve">Figure 25. </w:t>
      </w:r>
      <w:r>
        <w:rPr>
          <w:noProof/>
        </w:rPr>
        <w:t>Linear regression relationship between milk production (t FPCM</w:t>
      </w:r>
      <w:r w:rsidR="00F901B6">
        <w:rPr>
          <w:noProof/>
        </w:rPr>
        <w:t>/annum</w:t>
      </w:r>
      <w:r>
        <w:rPr>
          <w:noProof/>
        </w:rPr>
        <w:t>)</w:t>
      </w:r>
      <w:r w:rsidR="00F901B6">
        <w:rPr>
          <w:noProof/>
        </w:rPr>
        <w:t xml:space="preserve"> and net GHG emissions (t CO</w:t>
      </w:r>
      <w:r w:rsidR="00F901B6" w:rsidRPr="00AF45E4">
        <w:rPr>
          <w:noProof/>
          <w:vertAlign w:val="subscript"/>
        </w:rPr>
        <w:t>2</w:t>
      </w:r>
      <w:r w:rsidR="00F901B6">
        <w:rPr>
          <w:noProof/>
        </w:rPr>
        <w:t>e/annum). The orange dots indicate farm datasets with a standard residual &gt; 2</w:t>
      </w:r>
      <w:r w:rsidR="00901E96">
        <w:rPr>
          <w:noProof/>
        </w:rPr>
        <w:t xml:space="preserve">, indicative of outlier results relative to the linear regression relationship. </w:t>
      </w:r>
    </w:p>
    <w:p w14:paraId="056E7573" w14:textId="77777777" w:rsidR="00AD1F15" w:rsidRDefault="00AD1F15" w:rsidP="00194937">
      <w:pPr>
        <w:spacing w:before="160" w:line="276" w:lineRule="auto"/>
        <w:rPr>
          <w:noProof/>
        </w:rPr>
      </w:pPr>
    </w:p>
    <w:p w14:paraId="399039C7" w14:textId="51E98CCE" w:rsidR="003E7B6D" w:rsidRDefault="002241B3" w:rsidP="00194937">
      <w:pPr>
        <w:spacing w:before="160" w:line="276" w:lineRule="auto"/>
      </w:pPr>
      <w:r>
        <w:lastRenderedPageBreak/>
        <w:t xml:space="preserve">The EI of milk production, </w:t>
      </w:r>
      <w:r w:rsidR="00FC26A6">
        <w:t>prior to taking an allocation of meat production into consideration</w:t>
      </w:r>
      <w:r w:rsidR="00A82E38">
        <w:t xml:space="preserve">, is presented in Table </w:t>
      </w:r>
      <w:r w:rsidR="0038039D">
        <w:t xml:space="preserve">1. </w:t>
      </w:r>
      <w:r w:rsidR="006F1AAA">
        <w:t>The overall mean for Australia, across the 13 years of data, was 1.07 kg CO</w:t>
      </w:r>
      <w:r w:rsidR="006F1AAA" w:rsidRPr="00FC26A6">
        <w:rPr>
          <w:vertAlign w:val="subscript"/>
        </w:rPr>
        <w:t>2</w:t>
      </w:r>
      <w:r w:rsidR="006F1AAA">
        <w:t>e/kg FPCM</w:t>
      </w:r>
      <w:r w:rsidR="00FC26A6">
        <w:t xml:space="preserve">. This is a 4.5% increase </w:t>
      </w:r>
      <w:r w:rsidR="00315469">
        <w:t>i</w:t>
      </w:r>
      <w:r w:rsidR="00FC26A6">
        <w:t xml:space="preserve">n results based on the previous </w:t>
      </w:r>
      <w:r w:rsidR="00BD2750">
        <w:t>NGGI methodology</w:t>
      </w:r>
      <w:r w:rsidR="001C29BB">
        <w:t xml:space="preserve">, </w:t>
      </w:r>
      <w:r w:rsidR="000845EC">
        <w:t>at 1.03 kg CO</w:t>
      </w:r>
      <w:r w:rsidR="000845EC" w:rsidRPr="000845EC">
        <w:rPr>
          <w:vertAlign w:val="subscript"/>
        </w:rPr>
        <w:t>2</w:t>
      </w:r>
      <w:r w:rsidR="000845EC">
        <w:t>e/kg FPCM</w:t>
      </w:r>
      <w:r w:rsidR="006803EC">
        <w:t xml:space="preserve">. The main reason for the </w:t>
      </w:r>
      <w:r w:rsidR="00856503">
        <w:t>increase was most likely due to an</w:t>
      </w:r>
      <w:r w:rsidR="001C29BB">
        <w:t xml:space="preserve"> increase in GWP of CH</w:t>
      </w:r>
      <w:r w:rsidR="001C29BB" w:rsidRPr="001C29BB">
        <w:rPr>
          <w:vertAlign w:val="subscript"/>
        </w:rPr>
        <w:t>4</w:t>
      </w:r>
      <w:r w:rsidR="00BD2750">
        <w:t xml:space="preserve"> (see section</w:t>
      </w:r>
      <w:r w:rsidR="00C24889">
        <w:t>s</w:t>
      </w:r>
      <w:r w:rsidR="00BD2750">
        <w:t xml:space="preserve"> </w:t>
      </w:r>
      <w:r w:rsidR="00C24889">
        <w:t>5.5 and 5.</w:t>
      </w:r>
      <w:r w:rsidR="009714E5">
        <w:t>6</w:t>
      </w:r>
      <w:r w:rsidR="00C24889">
        <w:t xml:space="preserve"> for explanations of the changes that have occurred since the update of the calculator with the newest NGGI methodology).</w:t>
      </w:r>
      <w:r w:rsidR="001C29BB">
        <w:t xml:space="preserve"> </w:t>
      </w:r>
    </w:p>
    <w:p w14:paraId="3DD51EE6" w14:textId="067BAEA9" w:rsidR="00A341D2" w:rsidRDefault="00A341D2" w:rsidP="00194937">
      <w:pPr>
        <w:spacing w:before="160" w:line="276" w:lineRule="auto"/>
      </w:pPr>
    </w:p>
    <w:p w14:paraId="6DBA9D94" w14:textId="27EEA805" w:rsidR="00C24889" w:rsidRPr="00C24889" w:rsidRDefault="00C24889" w:rsidP="00194937">
      <w:pPr>
        <w:spacing w:before="160" w:line="276" w:lineRule="auto"/>
      </w:pPr>
      <w:r>
        <w:rPr>
          <w:b/>
          <w:bCs/>
        </w:rPr>
        <w:t xml:space="preserve">Table 1. </w:t>
      </w:r>
      <w:r w:rsidR="00A341D2">
        <w:t>Mean regional and national emissions intensity (kg CO</w:t>
      </w:r>
      <w:r w:rsidR="00A341D2" w:rsidRPr="001C29BB">
        <w:rPr>
          <w:vertAlign w:val="subscript"/>
        </w:rPr>
        <w:t>2</w:t>
      </w:r>
      <w:r w:rsidR="00A341D2">
        <w:t xml:space="preserve">e/kg FPCM) when allocating all GHG emissions to milk production. </w:t>
      </w:r>
      <w:r w:rsidR="00081270">
        <w:t xml:space="preserve">Old NGGI refers to the 2017 methodology results. </w:t>
      </w:r>
      <w:r w:rsidR="0064422C">
        <w:t>FY</w:t>
      </w:r>
      <w:r w:rsidR="00344C89">
        <w:t xml:space="preserve"> </w:t>
      </w:r>
      <w:r w:rsidR="0064422C">
        <w:t>2007 reflects the 2006-07 financial year.</w:t>
      </w:r>
    </w:p>
    <w:tbl>
      <w:tblPr>
        <w:tblStyle w:val="TableGrid1"/>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723"/>
        <w:gridCol w:w="724"/>
        <w:gridCol w:w="725"/>
        <w:gridCol w:w="756"/>
        <w:gridCol w:w="756"/>
        <w:gridCol w:w="724"/>
        <w:gridCol w:w="725"/>
        <w:gridCol w:w="725"/>
        <w:gridCol w:w="752"/>
        <w:gridCol w:w="740"/>
        <w:gridCol w:w="717"/>
      </w:tblGrid>
      <w:tr w:rsidR="000971A6" w14:paraId="16AFE6C2" w14:textId="371A862A" w:rsidTr="00FC7633">
        <w:tc>
          <w:tcPr>
            <w:tcW w:w="1134" w:type="dxa"/>
            <w:tcBorders>
              <w:top w:val="single" w:sz="4" w:space="0" w:color="auto"/>
              <w:bottom w:val="single" w:sz="4" w:space="0" w:color="auto"/>
            </w:tcBorders>
            <w:shd w:val="clear" w:color="auto" w:fill="D0CECE" w:themeFill="background2" w:themeFillShade="E6"/>
          </w:tcPr>
          <w:p w14:paraId="659C7FD3" w14:textId="3C04DFD8" w:rsidR="00323D28" w:rsidRPr="00422C3D" w:rsidRDefault="00323D28" w:rsidP="001230D4">
            <w:pPr>
              <w:rPr>
                <w:b/>
                <w:bCs/>
              </w:rPr>
            </w:pPr>
            <w:r w:rsidRPr="00422C3D">
              <w:rPr>
                <w:b/>
                <w:bCs/>
              </w:rPr>
              <w:t>Year</w:t>
            </w:r>
          </w:p>
        </w:tc>
        <w:tc>
          <w:tcPr>
            <w:tcW w:w="725" w:type="dxa"/>
            <w:tcBorders>
              <w:top w:val="single" w:sz="4" w:space="0" w:color="auto"/>
              <w:bottom w:val="single" w:sz="4" w:space="0" w:color="auto"/>
            </w:tcBorders>
            <w:shd w:val="clear" w:color="auto" w:fill="D0CECE" w:themeFill="background2" w:themeFillShade="E6"/>
          </w:tcPr>
          <w:p w14:paraId="3FE0AAA1" w14:textId="77777777" w:rsidR="00323D28" w:rsidRPr="00422C3D" w:rsidRDefault="00323D28" w:rsidP="001230D4">
            <w:pPr>
              <w:jc w:val="center"/>
              <w:rPr>
                <w:b/>
                <w:bCs/>
              </w:rPr>
            </w:pPr>
            <w:r w:rsidRPr="00422C3D">
              <w:rPr>
                <w:b/>
                <w:bCs/>
              </w:rPr>
              <w:t>SE Vic</w:t>
            </w:r>
          </w:p>
        </w:tc>
        <w:tc>
          <w:tcPr>
            <w:tcW w:w="726" w:type="dxa"/>
            <w:tcBorders>
              <w:top w:val="single" w:sz="4" w:space="0" w:color="auto"/>
              <w:bottom w:val="single" w:sz="4" w:space="0" w:color="auto"/>
            </w:tcBorders>
            <w:shd w:val="clear" w:color="auto" w:fill="D0CECE" w:themeFill="background2" w:themeFillShade="E6"/>
          </w:tcPr>
          <w:p w14:paraId="28FEA853" w14:textId="15078203" w:rsidR="00323D28" w:rsidRPr="00422C3D" w:rsidRDefault="00323D28" w:rsidP="001230D4">
            <w:pPr>
              <w:jc w:val="center"/>
              <w:rPr>
                <w:b/>
                <w:bCs/>
              </w:rPr>
            </w:pPr>
            <w:r w:rsidRPr="00422C3D">
              <w:rPr>
                <w:b/>
                <w:bCs/>
              </w:rPr>
              <w:t>Nth Vic</w:t>
            </w:r>
          </w:p>
        </w:tc>
        <w:tc>
          <w:tcPr>
            <w:tcW w:w="727" w:type="dxa"/>
            <w:tcBorders>
              <w:top w:val="single" w:sz="4" w:space="0" w:color="auto"/>
              <w:bottom w:val="single" w:sz="4" w:space="0" w:color="auto"/>
            </w:tcBorders>
            <w:shd w:val="clear" w:color="auto" w:fill="D0CECE" w:themeFill="background2" w:themeFillShade="E6"/>
          </w:tcPr>
          <w:p w14:paraId="4C8C36B8" w14:textId="0E172682" w:rsidR="00323D28" w:rsidRPr="00422C3D" w:rsidRDefault="00323D28" w:rsidP="001230D4">
            <w:pPr>
              <w:jc w:val="center"/>
              <w:rPr>
                <w:b/>
                <w:bCs/>
              </w:rPr>
            </w:pPr>
            <w:r w:rsidRPr="00422C3D">
              <w:rPr>
                <w:b/>
                <w:bCs/>
              </w:rPr>
              <w:t>SW VIC</w:t>
            </w:r>
          </w:p>
        </w:tc>
        <w:tc>
          <w:tcPr>
            <w:tcW w:w="757" w:type="dxa"/>
            <w:tcBorders>
              <w:top w:val="single" w:sz="4" w:space="0" w:color="auto"/>
              <w:bottom w:val="single" w:sz="4" w:space="0" w:color="auto"/>
            </w:tcBorders>
            <w:shd w:val="clear" w:color="auto" w:fill="D0CECE" w:themeFill="background2" w:themeFillShade="E6"/>
          </w:tcPr>
          <w:p w14:paraId="6C294E35" w14:textId="77777777" w:rsidR="00323D28" w:rsidRPr="00422C3D" w:rsidRDefault="00323D28" w:rsidP="001230D4">
            <w:pPr>
              <w:jc w:val="center"/>
              <w:rPr>
                <w:b/>
                <w:bCs/>
              </w:rPr>
            </w:pPr>
            <w:r w:rsidRPr="00422C3D">
              <w:rPr>
                <w:b/>
                <w:bCs/>
              </w:rPr>
              <w:t>Nth</w:t>
            </w:r>
          </w:p>
          <w:p w14:paraId="3A1BFE05" w14:textId="614D43A7" w:rsidR="00323D28" w:rsidRPr="00422C3D" w:rsidRDefault="00323D28" w:rsidP="001230D4">
            <w:pPr>
              <w:jc w:val="center"/>
              <w:rPr>
                <w:b/>
                <w:bCs/>
              </w:rPr>
            </w:pPr>
            <w:r w:rsidRPr="00422C3D">
              <w:rPr>
                <w:b/>
                <w:bCs/>
              </w:rPr>
              <w:t>NSW</w:t>
            </w:r>
          </w:p>
        </w:tc>
        <w:tc>
          <w:tcPr>
            <w:tcW w:w="757" w:type="dxa"/>
            <w:tcBorders>
              <w:top w:val="single" w:sz="4" w:space="0" w:color="auto"/>
              <w:bottom w:val="single" w:sz="4" w:space="0" w:color="auto"/>
            </w:tcBorders>
            <w:shd w:val="clear" w:color="auto" w:fill="D0CECE" w:themeFill="background2" w:themeFillShade="E6"/>
          </w:tcPr>
          <w:p w14:paraId="5EECE31A" w14:textId="298170E4" w:rsidR="00323D28" w:rsidRPr="00422C3D" w:rsidRDefault="00323D28" w:rsidP="001230D4">
            <w:pPr>
              <w:jc w:val="center"/>
              <w:rPr>
                <w:b/>
                <w:bCs/>
              </w:rPr>
            </w:pPr>
            <w:proofErr w:type="spellStart"/>
            <w:r w:rsidRPr="00422C3D">
              <w:rPr>
                <w:b/>
                <w:bCs/>
              </w:rPr>
              <w:t>Sth</w:t>
            </w:r>
            <w:proofErr w:type="spellEnd"/>
            <w:r w:rsidRPr="00422C3D">
              <w:rPr>
                <w:b/>
                <w:bCs/>
              </w:rPr>
              <w:t xml:space="preserve"> NSW</w:t>
            </w:r>
          </w:p>
        </w:tc>
        <w:tc>
          <w:tcPr>
            <w:tcW w:w="726" w:type="dxa"/>
            <w:tcBorders>
              <w:top w:val="single" w:sz="4" w:space="0" w:color="auto"/>
              <w:bottom w:val="single" w:sz="4" w:space="0" w:color="auto"/>
            </w:tcBorders>
            <w:shd w:val="clear" w:color="auto" w:fill="D0CECE" w:themeFill="background2" w:themeFillShade="E6"/>
          </w:tcPr>
          <w:p w14:paraId="40D13BC1" w14:textId="77777777" w:rsidR="00323D28" w:rsidRPr="00422C3D" w:rsidRDefault="00323D28" w:rsidP="001230D4">
            <w:pPr>
              <w:jc w:val="center"/>
              <w:rPr>
                <w:b/>
                <w:bCs/>
              </w:rPr>
            </w:pPr>
            <w:r w:rsidRPr="00422C3D">
              <w:rPr>
                <w:b/>
                <w:bCs/>
              </w:rPr>
              <w:t>SA</w:t>
            </w:r>
          </w:p>
        </w:tc>
        <w:tc>
          <w:tcPr>
            <w:tcW w:w="727" w:type="dxa"/>
            <w:tcBorders>
              <w:top w:val="single" w:sz="4" w:space="0" w:color="auto"/>
              <w:bottom w:val="single" w:sz="4" w:space="0" w:color="auto"/>
            </w:tcBorders>
            <w:shd w:val="clear" w:color="auto" w:fill="D0CECE" w:themeFill="background2" w:themeFillShade="E6"/>
          </w:tcPr>
          <w:p w14:paraId="35EE36C0" w14:textId="77777777" w:rsidR="00323D28" w:rsidRPr="00422C3D" w:rsidRDefault="00323D28" w:rsidP="001230D4">
            <w:pPr>
              <w:jc w:val="center"/>
              <w:rPr>
                <w:b/>
                <w:bCs/>
              </w:rPr>
            </w:pPr>
            <w:r w:rsidRPr="00422C3D">
              <w:rPr>
                <w:b/>
                <w:bCs/>
              </w:rPr>
              <w:t>TAS</w:t>
            </w:r>
          </w:p>
        </w:tc>
        <w:tc>
          <w:tcPr>
            <w:tcW w:w="727" w:type="dxa"/>
            <w:tcBorders>
              <w:top w:val="single" w:sz="4" w:space="0" w:color="auto"/>
              <w:bottom w:val="single" w:sz="4" w:space="0" w:color="auto"/>
            </w:tcBorders>
            <w:shd w:val="clear" w:color="auto" w:fill="D0CECE" w:themeFill="background2" w:themeFillShade="E6"/>
          </w:tcPr>
          <w:p w14:paraId="0EB74336" w14:textId="77777777" w:rsidR="00323D28" w:rsidRPr="00422C3D" w:rsidRDefault="00323D28" w:rsidP="001230D4">
            <w:pPr>
              <w:jc w:val="center"/>
              <w:rPr>
                <w:b/>
                <w:bCs/>
              </w:rPr>
            </w:pPr>
            <w:r w:rsidRPr="00422C3D">
              <w:rPr>
                <w:b/>
                <w:bCs/>
              </w:rPr>
              <w:t>WA</w:t>
            </w:r>
          </w:p>
        </w:tc>
        <w:tc>
          <w:tcPr>
            <w:tcW w:w="753" w:type="dxa"/>
            <w:tcBorders>
              <w:top w:val="single" w:sz="4" w:space="0" w:color="auto"/>
              <w:bottom w:val="single" w:sz="4" w:space="0" w:color="auto"/>
            </w:tcBorders>
            <w:shd w:val="clear" w:color="auto" w:fill="D0CECE" w:themeFill="background2" w:themeFillShade="E6"/>
          </w:tcPr>
          <w:p w14:paraId="279A31D4" w14:textId="77777777" w:rsidR="00323D28" w:rsidRPr="00422C3D" w:rsidRDefault="00323D28" w:rsidP="001230D4">
            <w:pPr>
              <w:jc w:val="center"/>
              <w:rPr>
                <w:b/>
                <w:bCs/>
              </w:rPr>
            </w:pPr>
            <w:proofErr w:type="spellStart"/>
            <w:r w:rsidRPr="00422C3D">
              <w:rPr>
                <w:b/>
                <w:bCs/>
              </w:rPr>
              <w:t>Aus</w:t>
            </w:r>
            <w:proofErr w:type="spellEnd"/>
            <w:r w:rsidRPr="00422C3D">
              <w:rPr>
                <w:b/>
                <w:bCs/>
              </w:rPr>
              <w:t xml:space="preserve"> wide</w:t>
            </w:r>
          </w:p>
        </w:tc>
        <w:tc>
          <w:tcPr>
            <w:tcW w:w="740" w:type="dxa"/>
            <w:tcBorders>
              <w:top w:val="single" w:sz="4" w:space="0" w:color="auto"/>
              <w:bottom w:val="single" w:sz="4" w:space="0" w:color="auto"/>
            </w:tcBorders>
            <w:shd w:val="clear" w:color="auto" w:fill="D0CECE" w:themeFill="background2" w:themeFillShade="E6"/>
          </w:tcPr>
          <w:p w14:paraId="6176693B" w14:textId="77777777" w:rsidR="00323D28" w:rsidRPr="00422C3D" w:rsidRDefault="00323D28" w:rsidP="001230D4">
            <w:pPr>
              <w:jc w:val="center"/>
              <w:rPr>
                <w:b/>
                <w:bCs/>
              </w:rPr>
            </w:pPr>
            <w:r w:rsidRPr="00422C3D">
              <w:rPr>
                <w:b/>
                <w:bCs/>
              </w:rPr>
              <w:t>No. farms</w:t>
            </w:r>
          </w:p>
        </w:tc>
        <w:tc>
          <w:tcPr>
            <w:tcW w:w="700" w:type="dxa"/>
            <w:tcBorders>
              <w:top w:val="single" w:sz="4" w:space="0" w:color="auto"/>
              <w:bottom w:val="single" w:sz="4" w:space="0" w:color="auto"/>
            </w:tcBorders>
            <w:shd w:val="clear" w:color="auto" w:fill="D0CECE" w:themeFill="background2" w:themeFillShade="E6"/>
          </w:tcPr>
          <w:p w14:paraId="3890D005" w14:textId="77777777" w:rsidR="00323D28" w:rsidRPr="00422C3D" w:rsidRDefault="00082B39" w:rsidP="00082B39">
            <w:pPr>
              <w:rPr>
                <w:b/>
                <w:bCs/>
              </w:rPr>
            </w:pPr>
            <w:r w:rsidRPr="00422C3D">
              <w:rPr>
                <w:b/>
                <w:bCs/>
              </w:rPr>
              <w:t>Old</w:t>
            </w:r>
          </w:p>
          <w:p w14:paraId="0F99D3B3" w14:textId="7372A379" w:rsidR="00082B39" w:rsidRPr="00422C3D" w:rsidRDefault="00082B39" w:rsidP="00082B39">
            <w:pPr>
              <w:rPr>
                <w:b/>
                <w:bCs/>
              </w:rPr>
            </w:pPr>
            <w:r w:rsidRPr="00422C3D">
              <w:rPr>
                <w:b/>
                <w:bCs/>
              </w:rPr>
              <w:t>NGGI</w:t>
            </w:r>
          </w:p>
        </w:tc>
      </w:tr>
      <w:tr w:rsidR="006F1AAA" w14:paraId="5063EC67" w14:textId="151764B7" w:rsidTr="003C7164">
        <w:tc>
          <w:tcPr>
            <w:tcW w:w="1134" w:type="dxa"/>
            <w:tcBorders>
              <w:top w:val="single" w:sz="4" w:space="0" w:color="auto"/>
            </w:tcBorders>
          </w:tcPr>
          <w:p w14:paraId="753470A6" w14:textId="77777777" w:rsidR="006F1AAA" w:rsidRDefault="006F1AAA" w:rsidP="006F1AAA">
            <w:r>
              <w:t>FY 2007</w:t>
            </w:r>
          </w:p>
        </w:tc>
        <w:tc>
          <w:tcPr>
            <w:tcW w:w="725" w:type="dxa"/>
            <w:tcBorders>
              <w:top w:val="single" w:sz="4" w:space="0" w:color="auto"/>
            </w:tcBorders>
            <w:vAlign w:val="bottom"/>
          </w:tcPr>
          <w:p w14:paraId="77D277C7" w14:textId="4BEF4199" w:rsidR="006F1AAA" w:rsidRDefault="006F1AAA" w:rsidP="006F1AAA">
            <w:pPr>
              <w:jc w:val="center"/>
            </w:pPr>
            <w:r>
              <w:rPr>
                <w:rFonts w:ascii="Calibri" w:hAnsi="Calibri" w:cs="Calibri"/>
                <w:color w:val="000000"/>
              </w:rPr>
              <w:t>1.16</w:t>
            </w:r>
          </w:p>
        </w:tc>
        <w:tc>
          <w:tcPr>
            <w:tcW w:w="726" w:type="dxa"/>
            <w:tcBorders>
              <w:top w:val="single" w:sz="4" w:space="0" w:color="auto"/>
            </w:tcBorders>
            <w:vAlign w:val="bottom"/>
          </w:tcPr>
          <w:p w14:paraId="604A07A6" w14:textId="059A6AA3" w:rsidR="006F1AAA" w:rsidRDefault="006F1AAA" w:rsidP="006F1AAA">
            <w:pPr>
              <w:jc w:val="center"/>
            </w:pPr>
            <w:r>
              <w:rPr>
                <w:rFonts w:ascii="Calibri" w:hAnsi="Calibri" w:cs="Calibri"/>
                <w:color w:val="000000"/>
              </w:rPr>
              <w:t>1.18</w:t>
            </w:r>
          </w:p>
        </w:tc>
        <w:tc>
          <w:tcPr>
            <w:tcW w:w="727" w:type="dxa"/>
            <w:tcBorders>
              <w:top w:val="single" w:sz="4" w:space="0" w:color="auto"/>
            </w:tcBorders>
            <w:vAlign w:val="bottom"/>
          </w:tcPr>
          <w:p w14:paraId="13145CF9" w14:textId="7716EFA4" w:rsidR="006F1AAA" w:rsidRDefault="006F1AAA" w:rsidP="006F1AAA">
            <w:pPr>
              <w:jc w:val="center"/>
            </w:pPr>
            <w:r>
              <w:rPr>
                <w:rFonts w:ascii="Calibri" w:hAnsi="Calibri" w:cs="Calibri"/>
                <w:color w:val="000000"/>
              </w:rPr>
              <w:t>1.04</w:t>
            </w:r>
          </w:p>
        </w:tc>
        <w:tc>
          <w:tcPr>
            <w:tcW w:w="757" w:type="dxa"/>
            <w:tcBorders>
              <w:top w:val="single" w:sz="4" w:space="0" w:color="auto"/>
            </w:tcBorders>
            <w:vAlign w:val="bottom"/>
          </w:tcPr>
          <w:p w14:paraId="0F3F84FE" w14:textId="77777777" w:rsidR="006F1AAA" w:rsidRDefault="006F1AAA" w:rsidP="006F1AAA">
            <w:pPr>
              <w:jc w:val="center"/>
            </w:pPr>
          </w:p>
        </w:tc>
        <w:tc>
          <w:tcPr>
            <w:tcW w:w="757" w:type="dxa"/>
            <w:tcBorders>
              <w:top w:val="single" w:sz="4" w:space="0" w:color="auto"/>
            </w:tcBorders>
            <w:vAlign w:val="bottom"/>
          </w:tcPr>
          <w:p w14:paraId="12DDB129" w14:textId="77777777" w:rsidR="006F1AAA" w:rsidRDefault="006F1AAA" w:rsidP="006F1AAA">
            <w:pPr>
              <w:jc w:val="center"/>
            </w:pPr>
          </w:p>
        </w:tc>
        <w:tc>
          <w:tcPr>
            <w:tcW w:w="726" w:type="dxa"/>
            <w:tcBorders>
              <w:top w:val="single" w:sz="4" w:space="0" w:color="auto"/>
            </w:tcBorders>
            <w:vAlign w:val="bottom"/>
          </w:tcPr>
          <w:p w14:paraId="5DE21DCD" w14:textId="77777777" w:rsidR="006F1AAA" w:rsidRDefault="006F1AAA" w:rsidP="006F1AAA">
            <w:pPr>
              <w:jc w:val="center"/>
            </w:pPr>
          </w:p>
        </w:tc>
        <w:tc>
          <w:tcPr>
            <w:tcW w:w="727" w:type="dxa"/>
            <w:tcBorders>
              <w:top w:val="single" w:sz="4" w:space="0" w:color="auto"/>
            </w:tcBorders>
            <w:vAlign w:val="bottom"/>
          </w:tcPr>
          <w:p w14:paraId="469E2C3F" w14:textId="77777777" w:rsidR="006F1AAA" w:rsidRDefault="006F1AAA" w:rsidP="006F1AAA">
            <w:pPr>
              <w:jc w:val="center"/>
            </w:pPr>
          </w:p>
        </w:tc>
        <w:tc>
          <w:tcPr>
            <w:tcW w:w="727" w:type="dxa"/>
            <w:tcBorders>
              <w:top w:val="single" w:sz="4" w:space="0" w:color="auto"/>
            </w:tcBorders>
            <w:vAlign w:val="bottom"/>
          </w:tcPr>
          <w:p w14:paraId="3D144082" w14:textId="77777777" w:rsidR="006F1AAA" w:rsidRDefault="006F1AAA" w:rsidP="006F1AAA">
            <w:pPr>
              <w:jc w:val="center"/>
            </w:pPr>
          </w:p>
        </w:tc>
        <w:tc>
          <w:tcPr>
            <w:tcW w:w="753" w:type="dxa"/>
            <w:tcBorders>
              <w:top w:val="single" w:sz="4" w:space="0" w:color="auto"/>
            </w:tcBorders>
            <w:vAlign w:val="bottom"/>
          </w:tcPr>
          <w:p w14:paraId="4CFB89FA" w14:textId="4C6854C8" w:rsidR="006F1AAA" w:rsidRDefault="006F1AAA" w:rsidP="006F1AAA">
            <w:pPr>
              <w:jc w:val="center"/>
            </w:pPr>
            <w:r>
              <w:rPr>
                <w:rFonts w:ascii="Calibri" w:hAnsi="Calibri" w:cs="Calibri"/>
                <w:color w:val="000000"/>
              </w:rPr>
              <w:t>1.12</w:t>
            </w:r>
          </w:p>
        </w:tc>
        <w:tc>
          <w:tcPr>
            <w:tcW w:w="740" w:type="dxa"/>
            <w:tcBorders>
              <w:top w:val="single" w:sz="4" w:space="0" w:color="auto"/>
            </w:tcBorders>
            <w:vAlign w:val="bottom"/>
          </w:tcPr>
          <w:p w14:paraId="68E911FC" w14:textId="5845A8E0" w:rsidR="006F1AAA" w:rsidRPr="00293413" w:rsidRDefault="006F1AAA" w:rsidP="006F1AAA">
            <w:pPr>
              <w:jc w:val="center"/>
            </w:pPr>
            <w:r>
              <w:rPr>
                <w:rFonts w:ascii="Calibri" w:hAnsi="Calibri" w:cs="Calibri"/>
                <w:color w:val="000000"/>
              </w:rPr>
              <w:t>51</w:t>
            </w:r>
          </w:p>
        </w:tc>
        <w:tc>
          <w:tcPr>
            <w:tcW w:w="700" w:type="dxa"/>
            <w:tcBorders>
              <w:top w:val="single" w:sz="4" w:space="0" w:color="auto"/>
            </w:tcBorders>
            <w:vAlign w:val="bottom"/>
          </w:tcPr>
          <w:p w14:paraId="3D7F700F" w14:textId="29571F15" w:rsidR="006F1AAA" w:rsidRDefault="006F1AAA" w:rsidP="006F1AAA">
            <w:pPr>
              <w:jc w:val="center"/>
              <w:rPr>
                <w:rFonts w:ascii="Calibri" w:hAnsi="Calibri" w:cs="Calibri"/>
                <w:color w:val="000000"/>
              </w:rPr>
            </w:pPr>
            <w:r>
              <w:rPr>
                <w:rFonts w:ascii="Calibri" w:hAnsi="Calibri" w:cs="Calibri"/>
                <w:color w:val="000000"/>
              </w:rPr>
              <w:t>1.09</w:t>
            </w:r>
          </w:p>
        </w:tc>
      </w:tr>
      <w:tr w:rsidR="006F1AAA" w14:paraId="566A95D1" w14:textId="7FB09CD6" w:rsidTr="003C7164">
        <w:tc>
          <w:tcPr>
            <w:tcW w:w="1134" w:type="dxa"/>
          </w:tcPr>
          <w:p w14:paraId="24710EED" w14:textId="77777777" w:rsidR="006F1AAA" w:rsidRDefault="006F1AAA" w:rsidP="006F1AAA">
            <w:r>
              <w:t>FY 2008</w:t>
            </w:r>
          </w:p>
        </w:tc>
        <w:tc>
          <w:tcPr>
            <w:tcW w:w="725" w:type="dxa"/>
            <w:vAlign w:val="bottom"/>
          </w:tcPr>
          <w:p w14:paraId="205655F8" w14:textId="05B6AD14" w:rsidR="006F1AAA" w:rsidRDefault="006F1AAA" w:rsidP="006F1AAA">
            <w:pPr>
              <w:jc w:val="center"/>
            </w:pPr>
            <w:r>
              <w:rPr>
                <w:rFonts w:ascii="Calibri" w:hAnsi="Calibri" w:cs="Calibri"/>
                <w:color w:val="000000"/>
              </w:rPr>
              <w:t>1.11</w:t>
            </w:r>
          </w:p>
        </w:tc>
        <w:tc>
          <w:tcPr>
            <w:tcW w:w="726" w:type="dxa"/>
            <w:vAlign w:val="bottom"/>
          </w:tcPr>
          <w:p w14:paraId="2B2CC397" w14:textId="31DA24E9" w:rsidR="006F1AAA" w:rsidRDefault="006F1AAA" w:rsidP="006F1AAA">
            <w:pPr>
              <w:jc w:val="center"/>
            </w:pPr>
            <w:r>
              <w:rPr>
                <w:rFonts w:ascii="Calibri" w:hAnsi="Calibri" w:cs="Calibri"/>
                <w:color w:val="000000"/>
              </w:rPr>
              <w:t>1.04</w:t>
            </w:r>
          </w:p>
        </w:tc>
        <w:tc>
          <w:tcPr>
            <w:tcW w:w="727" w:type="dxa"/>
            <w:vAlign w:val="bottom"/>
          </w:tcPr>
          <w:p w14:paraId="6F58500B" w14:textId="1F7FFDD1" w:rsidR="006F1AAA" w:rsidRDefault="006F1AAA" w:rsidP="006F1AAA">
            <w:pPr>
              <w:jc w:val="center"/>
            </w:pPr>
            <w:r>
              <w:rPr>
                <w:rFonts w:ascii="Calibri" w:hAnsi="Calibri" w:cs="Calibri"/>
                <w:color w:val="000000"/>
              </w:rPr>
              <w:t>1.10</w:t>
            </w:r>
          </w:p>
        </w:tc>
        <w:tc>
          <w:tcPr>
            <w:tcW w:w="757" w:type="dxa"/>
            <w:vAlign w:val="bottom"/>
          </w:tcPr>
          <w:p w14:paraId="2A03AE2F" w14:textId="77777777" w:rsidR="006F1AAA" w:rsidRDefault="006F1AAA" w:rsidP="006F1AAA">
            <w:pPr>
              <w:jc w:val="center"/>
            </w:pPr>
          </w:p>
        </w:tc>
        <w:tc>
          <w:tcPr>
            <w:tcW w:w="757" w:type="dxa"/>
            <w:vAlign w:val="bottom"/>
          </w:tcPr>
          <w:p w14:paraId="6A3E0209" w14:textId="77777777" w:rsidR="006F1AAA" w:rsidRDefault="006F1AAA" w:rsidP="006F1AAA">
            <w:pPr>
              <w:jc w:val="center"/>
            </w:pPr>
          </w:p>
        </w:tc>
        <w:tc>
          <w:tcPr>
            <w:tcW w:w="726" w:type="dxa"/>
            <w:vAlign w:val="bottom"/>
          </w:tcPr>
          <w:p w14:paraId="67E0FF9D" w14:textId="77777777" w:rsidR="006F1AAA" w:rsidRDefault="006F1AAA" w:rsidP="006F1AAA">
            <w:pPr>
              <w:jc w:val="center"/>
            </w:pPr>
          </w:p>
        </w:tc>
        <w:tc>
          <w:tcPr>
            <w:tcW w:w="727" w:type="dxa"/>
            <w:vAlign w:val="bottom"/>
          </w:tcPr>
          <w:p w14:paraId="3DBB1CE7" w14:textId="77777777" w:rsidR="006F1AAA" w:rsidRDefault="006F1AAA" w:rsidP="006F1AAA">
            <w:pPr>
              <w:jc w:val="center"/>
            </w:pPr>
          </w:p>
        </w:tc>
        <w:tc>
          <w:tcPr>
            <w:tcW w:w="727" w:type="dxa"/>
            <w:vAlign w:val="bottom"/>
          </w:tcPr>
          <w:p w14:paraId="4E508EDA" w14:textId="77777777" w:rsidR="006F1AAA" w:rsidRDefault="006F1AAA" w:rsidP="006F1AAA">
            <w:pPr>
              <w:jc w:val="center"/>
            </w:pPr>
          </w:p>
        </w:tc>
        <w:tc>
          <w:tcPr>
            <w:tcW w:w="753" w:type="dxa"/>
            <w:vAlign w:val="bottom"/>
          </w:tcPr>
          <w:p w14:paraId="03851F3C" w14:textId="007A8772" w:rsidR="006F1AAA" w:rsidRDefault="006F1AAA" w:rsidP="006F1AAA">
            <w:pPr>
              <w:jc w:val="center"/>
            </w:pPr>
            <w:r>
              <w:rPr>
                <w:rFonts w:ascii="Calibri" w:hAnsi="Calibri" w:cs="Calibri"/>
                <w:color w:val="000000"/>
              </w:rPr>
              <w:t>1.08</w:t>
            </w:r>
          </w:p>
        </w:tc>
        <w:tc>
          <w:tcPr>
            <w:tcW w:w="740" w:type="dxa"/>
            <w:vAlign w:val="bottom"/>
          </w:tcPr>
          <w:p w14:paraId="250BF2B3" w14:textId="74A09EB9" w:rsidR="006F1AAA" w:rsidRPr="00293413" w:rsidRDefault="006F1AAA" w:rsidP="006F1AAA">
            <w:pPr>
              <w:jc w:val="center"/>
            </w:pPr>
            <w:r>
              <w:rPr>
                <w:rFonts w:ascii="Calibri" w:hAnsi="Calibri" w:cs="Calibri"/>
                <w:color w:val="000000"/>
              </w:rPr>
              <w:t>73</w:t>
            </w:r>
          </w:p>
        </w:tc>
        <w:tc>
          <w:tcPr>
            <w:tcW w:w="700" w:type="dxa"/>
            <w:vAlign w:val="bottom"/>
          </w:tcPr>
          <w:p w14:paraId="357DCD88" w14:textId="0E50245A" w:rsidR="006F1AAA" w:rsidRDefault="006F1AAA" w:rsidP="006F1AAA">
            <w:pPr>
              <w:jc w:val="center"/>
              <w:rPr>
                <w:rFonts w:ascii="Calibri" w:hAnsi="Calibri" w:cs="Calibri"/>
                <w:color w:val="000000"/>
              </w:rPr>
            </w:pPr>
            <w:r>
              <w:rPr>
                <w:rFonts w:ascii="Calibri" w:hAnsi="Calibri" w:cs="Calibri"/>
                <w:color w:val="000000"/>
              </w:rPr>
              <w:t>1.04</w:t>
            </w:r>
          </w:p>
        </w:tc>
      </w:tr>
      <w:tr w:rsidR="006F1AAA" w14:paraId="312E2C57" w14:textId="20C49565" w:rsidTr="003C7164">
        <w:tc>
          <w:tcPr>
            <w:tcW w:w="1134" w:type="dxa"/>
          </w:tcPr>
          <w:p w14:paraId="52025621" w14:textId="77777777" w:rsidR="006F1AAA" w:rsidRDefault="006F1AAA" w:rsidP="006F1AAA">
            <w:r>
              <w:t>FY 2009</w:t>
            </w:r>
          </w:p>
        </w:tc>
        <w:tc>
          <w:tcPr>
            <w:tcW w:w="725" w:type="dxa"/>
            <w:vAlign w:val="bottom"/>
          </w:tcPr>
          <w:p w14:paraId="3EAF1CB6" w14:textId="6F814425" w:rsidR="006F1AAA" w:rsidRDefault="006F1AAA" w:rsidP="006F1AAA">
            <w:pPr>
              <w:jc w:val="center"/>
            </w:pPr>
            <w:r>
              <w:rPr>
                <w:rFonts w:ascii="Calibri" w:hAnsi="Calibri" w:cs="Calibri"/>
                <w:color w:val="000000"/>
              </w:rPr>
              <w:t>1.06</w:t>
            </w:r>
          </w:p>
        </w:tc>
        <w:tc>
          <w:tcPr>
            <w:tcW w:w="726" w:type="dxa"/>
            <w:vAlign w:val="bottom"/>
          </w:tcPr>
          <w:p w14:paraId="5EED3B19" w14:textId="68397A11" w:rsidR="006F1AAA" w:rsidRDefault="006F1AAA" w:rsidP="006F1AAA">
            <w:pPr>
              <w:jc w:val="center"/>
            </w:pPr>
            <w:r>
              <w:rPr>
                <w:rFonts w:ascii="Calibri" w:hAnsi="Calibri" w:cs="Calibri"/>
                <w:color w:val="000000"/>
              </w:rPr>
              <w:t>1.02</w:t>
            </w:r>
          </w:p>
        </w:tc>
        <w:tc>
          <w:tcPr>
            <w:tcW w:w="727" w:type="dxa"/>
            <w:vAlign w:val="bottom"/>
          </w:tcPr>
          <w:p w14:paraId="4E0104C6" w14:textId="069139E0" w:rsidR="006F1AAA" w:rsidRDefault="006F1AAA" w:rsidP="006F1AAA">
            <w:pPr>
              <w:jc w:val="center"/>
            </w:pPr>
            <w:r>
              <w:rPr>
                <w:rFonts w:ascii="Calibri" w:hAnsi="Calibri" w:cs="Calibri"/>
                <w:color w:val="000000"/>
              </w:rPr>
              <w:t>1.04</w:t>
            </w:r>
          </w:p>
        </w:tc>
        <w:tc>
          <w:tcPr>
            <w:tcW w:w="757" w:type="dxa"/>
            <w:vAlign w:val="bottom"/>
          </w:tcPr>
          <w:p w14:paraId="1820FFD7" w14:textId="77777777" w:rsidR="006F1AAA" w:rsidRDefault="006F1AAA" w:rsidP="006F1AAA">
            <w:pPr>
              <w:jc w:val="center"/>
            </w:pPr>
          </w:p>
        </w:tc>
        <w:tc>
          <w:tcPr>
            <w:tcW w:w="757" w:type="dxa"/>
            <w:vAlign w:val="bottom"/>
          </w:tcPr>
          <w:p w14:paraId="4503A1C3" w14:textId="77777777" w:rsidR="006F1AAA" w:rsidRDefault="006F1AAA" w:rsidP="006F1AAA">
            <w:pPr>
              <w:jc w:val="center"/>
            </w:pPr>
          </w:p>
        </w:tc>
        <w:tc>
          <w:tcPr>
            <w:tcW w:w="726" w:type="dxa"/>
            <w:vAlign w:val="bottom"/>
          </w:tcPr>
          <w:p w14:paraId="37619AB2" w14:textId="77777777" w:rsidR="006F1AAA" w:rsidRDefault="006F1AAA" w:rsidP="006F1AAA">
            <w:pPr>
              <w:jc w:val="center"/>
            </w:pPr>
          </w:p>
        </w:tc>
        <w:tc>
          <w:tcPr>
            <w:tcW w:w="727" w:type="dxa"/>
            <w:vAlign w:val="bottom"/>
          </w:tcPr>
          <w:p w14:paraId="367864DF" w14:textId="77777777" w:rsidR="006F1AAA" w:rsidRDefault="006F1AAA" w:rsidP="006F1AAA">
            <w:pPr>
              <w:jc w:val="center"/>
            </w:pPr>
          </w:p>
        </w:tc>
        <w:tc>
          <w:tcPr>
            <w:tcW w:w="727" w:type="dxa"/>
            <w:vAlign w:val="bottom"/>
          </w:tcPr>
          <w:p w14:paraId="43C2A06B" w14:textId="77777777" w:rsidR="006F1AAA" w:rsidRDefault="006F1AAA" w:rsidP="006F1AAA">
            <w:pPr>
              <w:jc w:val="center"/>
            </w:pPr>
          </w:p>
        </w:tc>
        <w:tc>
          <w:tcPr>
            <w:tcW w:w="753" w:type="dxa"/>
            <w:vAlign w:val="bottom"/>
          </w:tcPr>
          <w:p w14:paraId="1C9107CF" w14:textId="3D93F204" w:rsidR="006F1AAA" w:rsidRDefault="006F1AAA" w:rsidP="006F1AAA">
            <w:pPr>
              <w:jc w:val="center"/>
            </w:pPr>
            <w:r>
              <w:rPr>
                <w:rFonts w:ascii="Calibri" w:hAnsi="Calibri" w:cs="Calibri"/>
                <w:color w:val="000000"/>
              </w:rPr>
              <w:t>1.04</w:t>
            </w:r>
          </w:p>
        </w:tc>
        <w:tc>
          <w:tcPr>
            <w:tcW w:w="740" w:type="dxa"/>
            <w:vAlign w:val="bottom"/>
          </w:tcPr>
          <w:p w14:paraId="02E54900" w14:textId="0DC96957" w:rsidR="006F1AAA" w:rsidRPr="00293413" w:rsidRDefault="006F1AAA" w:rsidP="006F1AAA">
            <w:pPr>
              <w:jc w:val="center"/>
            </w:pPr>
            <w:r>
              <w:rPr>
                <w:rFonts w:ascii="Calibri" w:hAnsi="Calibri" w:cs="Calibri"/>
                <w:color w:val="000000"/>
              </w:rPr>
              <w:t>70</w:t>
            </w:r>
          </w:p>
        </w:tc>
        <w:tc>
          <w:tcPr>
            <w:tcW w:w="700" w:type="dxa"/>
            <w:vAlign w:val="bottom"/>
          </w:tcPr>
          <w:p w14:paraId="30A40C39" w14:textId="338F46C2" w:rsidR="006F1AAA" w:rsidRDefault="006F1AAA" w:rsidP="006F1AAA">
            <w:pPr>
              <w:jc w:val="center"/>
              <w:rPr>
                <w:rFonts w:ascii="Calibri" w:hAnsi="Calibri" w:cs="Calibri"/>
                <w:color w:val="000000"/>
              </w:rPr>
            </w:pPr>
            <w:r>
              <w:rPr>
                <w:rFonts w:ascii="Calibri" w:hAnsi="Calibri" w:cs="Calibri"/>
                <w:color w:val="000000"/>
              </w:rPr>
              <w:t>1.00</w:t>
            </w:r>
          </w:p>
        </w:tc>
      </w:tr>
      <w:tr w:rsidR="006F1AAA" w14:paraId="6035FCDB" w14:textId="3DAFB06B" w:rsidTr="003C7164">
        <w:tc>
          <w:tcPr>
            <w:tcW w:w="1134" w:type="dxa"/>
          </w:tcPr>
          <w:p w14:paraId="5367C6F2" w14:textId="77777777" w:rsidR="006F1AAA" w:rsidRDefault="006F1AAA" w:rsidP="006F1AAA">
            <w:r>
              <w:t>FY 2010</w:t>
            </w:r>
          </w:p>
        </w:tc>
        <w:tc>
          <w:tcPr>
            <w:tcW w:w="725" w:type="dxa"/>
            <w:vAlign w:val="bottom"/>
          </w:tcPr>
          <w:p w14:paraId="4F480B61" w14:textId="100B826C" w:rsidR="006F1AAA" w:rsidRDefault="006F1AAA" w:rsidP="006F1AAA">
            <w:pPr>
              <w:jc w:val="center"/>
            </w:pPr>
            <w:r>
              <w:rPr>
                <w:rFonts w:ascii="Calibri" w:hAnsi="Calibri" w:cs="Calibri"/>
                <w:color w:val="000000"/>
              </w:rPr>
              <w:t>1.09</w:t>
            </w:r>
          </w:p>
        </w:tc>
        <w:tc>
          <w:tcPr>
            <w:tcW w:w="726" w:type="dxa"/>
            <w:vAlign w:val="bottom"/>
          </w:tcPr>
          <w:p w14:paraId="19E95D6F" w14:textId="52BF949A" w:rsidR="006F1AAA" w:rsidRDefault="006F1AAA" w:rsidP="006F1AAA">
            <w:pPr>
              <w:jc w:val="center"/>
            </w:pPr>
            <w:r>
              <w:rPr>
                <w:rFonts w:ascii="Calibri" w:hAnsi="Calibri" w:cs="Calibri"/>
                <w:color w:val="000000"/>
              </w:rPr>
              <w:t>1.05</w:t>
            </w:r>
          </w:p>
        </w:tc>
        <w:tc>
          <w:tcPr>
            <w:tcW w:w="727" w:type="dxa"/>
            <w:vAlign w:val="bottom"/>
          </w:tcPr>
          <w:p w14:paraId="28B232F5" w14:textId="20D040CC" w:rsidR="006F1AAA" w:rsidRDefault="006F1AAA" w:rsidP="006F1AAA">
            <w:pPr>
              <w:jc w:val="center"/>
            </w:pPr>
            <w:r>
              <w:rPr>
                <w:rFonts w:ascii="Calibri" w:hAnsi="Calibri" w:cs="Calibri"/>
                <w:color w:val="000000"/>
              </w:rPr>
              <w:t>1.03</w:t>
            </w:r>
          </w:p>
        </w:tc>
        <w:tc>
          <w:tcPr>
            <w:tcW w:w="757" w:type="dxa"/>
            <w:vAlign w:val="bottom"/>
          </w:tcPr>
          <w:p w14:paraId="5759AD5B" w14:textId="77777777" w:rsidR="006F1AAA" w:rsidRDefault="006F1AAA" w:rsidP="006F1AAA">
            <w:pPr>
              <w:jc w:val="center"/>
            </w:pPr>
          </w:p>
        </w:tc>
        <w:tc>
          <w:tcPr>
            <w:tcW w:w="757" w:type="dxa"/>
            <w:vAlign w:val="bottom"/>
          </w:tcPr>
          <w:p w14:paraId="265C596C" w14:textId="77777777" w:rsidR="006F1AAA" w:rsidRDefault="006F1AAA" w:rsidP="006F1AAA">
            <w:pPr>
              <w:jc w:val="center"/>
            </w:pPr>
          </w:p>
        </w:tc>
        <w:tc>
          <w:tcPr>
            <w:tcW w:w="726" w:type="dxa"/>
            <w:vAlign w:val="bottom"/>
          </w:tcPr>
          <w:p w14:paraId="3FDF4426" w14:textId="77777777" w:rsidR="006F1AAA" w:rsidRDefault="006F1AAA" w:rsidP="006F1AAA">
            <w:pPr>
              <w:jc w:val="center"/>
            </w:pPr>
          </w:p>
        </w:tc>
        <w:tc>
          <w:tcPr>
            <w:tcW w:w="727" w:type="dxa"/>
            <w:vAlign w:val="bottom"/>
          </w:tcPr>
          <w:p w14:paraId="73463D51" w14:textId="77777777" w:rsidR="006F1AAA" w:rsidRDefault="006F1AAA" w:rsidP="006F1AAA">
            <w:pPr>
              <w:jc w:val="center"/>
            </w:pPr>
          </w:p>
        </w:tc>
        <w:tc>
          <w:tcPr>
            <w:tcW w:w="727" w:type="dxa"/>
            <w:vAlign w:val="bottom"/>
          </w:tcPr>
          <w:p w14:paraId="68AB529F" w14:textId="77777777" w:rsidR="006F1AAA" w:rsidRDefault="006F1AAA" w:rsidP="006F1AAA">
            <w:pPr>
              <w:jc w:val="center"/>
            </w:pPr>
          </w:p>
        </w:tc>
        <w:tc>
          <w:tcPr>
            <w:tcW w:w="753" w:type="dxa"/>
            <w:vAlign w:val="bottom"/>
          </w:tcPr>
          <w:p w14:paraId="0F8D83E4" w14:textId="2C1D37A9" w:rsidR="006F1AAA" w:rsidRDefault="006F1AAA" w:rsidP="006F1AAA">
            <w:pPr>
              <w:jc w:val="center"/>
            </w:pPr>
            <w:r>
              <w:rPr>
                <w:rFonts w:ascii="Calibri" w:hAnsi="Calibri" w:cs="Calibri"/>
                <w:color w:val="000000"/>
              </w:rPr>
              <w:t>1.06</w:t>
            </w:r>
          </w:p>
        </w:tc>
        <w:tc>
          <w:tcPr>
            <w:tcW w:w="740" w:type="dxa"/>
            <w:vAlign w:val="bottom"/>
          </w:tcPr>
          <w:p w14:paraId="43098B68" w14:textId="22343066" w:rsidR="006F1AAA" w:rsidRPr="00293413" w:rsidRDefault="006F1AAA" w:rsidP="006F1AAA">
            <w:pPr>
              <w:jc w:val="center"/>
            </w:pPr>
            <w:r>
              <w:rPr>
                <w:rFonts w:ascii="Calibri" w:hAnsi="Calibri" w:cs="Calibri"/>
                <w:color w:val="000000"/>
              </w:rPr>
              <w:t>71</w:t>
            </w:r>
          </w:p>
        </w:tc>
        <w:tc>
          <w:tcPr>
            <w:tcW w:w="700" w:type="dxa"/>
            <w:vAlign w:val="bottom"/>
          </w:tcPr>
          <w:p w14:paraId="180FCC7E" w14:textId="1A9A4932" w:rsidR="006F1AAA" w:rsidRDefault="006F1AAA" w:rsidP="006F1AAA">
            <w:pPr>
              <w:jc w:val="center"/>
              <w:rPr>
                <w:rFonts w:ascii="Calibri" w:hAnsi="Calibri" w:cs="Calibri"/>
                <w:color w:val="000000"/>
              </w:rPr>
            </w:pPr>
            <w:r>
              <w:rPr>
                <w:rFonts w:ascii="Calibri" w:hAnsi="Calibri" w:cs="Calibri"/>
                <w:color w:val="000000"/>
              </w:rPr>
              <w:t>1.02</w:t>
            </w:r>
          </w:p>
        </w:tc>
      </w:tr>
      <w:tr w:rsidR="006F1AAA" w14:paraId="2BCA8D8F" w14:textId="4D5E8853" w:rsidTr="003C7164">
        <w:tc>
          <w:tcPr>
            <w:tcW w:w="1134" w:type="dxa"/>
          </w:tcPr>
          <w:p w14:paraId="123242DD" w14:textId="77777777" w:rsidR="006F1AAA" w:rsidRDefault="006F1AAA" w:rsidP="006F1AAA">
            <w:r>
              <w:t>FY 2011</w:t>
            </w:r>
          </w:p>
        </w:tc>
        <w:tc>
          <w:tcPr>
            <w:tcW w:w="725" w:type="dxa"/>
            <w:vAlign w:val="bottom"/>
          </w:tcPr>
          <w:p w14:paraId="2D3BE1F1" w14:textId="5F3BE255" w:rsidR="006F1AAA" w:rsidRDefault="006F1AAA" w:rsidP="006F1AAA">
            <w:pPr>
              <w:jc w:val="center"/>
            </w:pPr>
            <w:r>
              <w:rPr>
                <w:rFonts w:ascii="Calibri" w:hAnsi="Calibri" w:cs="Calibri"/>
                <w:color w:val="000000"/>
              </w:rPr>
              <w:t>1.03</w:t>
            </w:r>
          </w:p>
        </w:tc>
        <w:tc>
          <w:tcPr>
            <w:tcW w:w="726" w:type="dxa"/>
            <w:vAlign w:val="bottom"/>
          </w:tcPr>
          <w:p w14:paraId="6D57A33B" w14:textId="59AD537B" w:rsidR="006F1AAA" w:rsidRDefault="006F1AAA" w:rsidP="006F1AAA">
            <w:pPr>
              <w:jc w:val="center"/>
            </w:pPr>
            <w:r>
              <w:rPr>
                <w:rFonts w:ascii="Calibri" w:hAnsi="Calibri" w:cs="Calibri"/>
                <w:color w:val="000000"/>
              </w:rPr>
              <w:t>1.02</w:t>
            </w:r>
          </w:p>
        </w:tc>
        <w:tc>
          <w:tcPr>
            <w:tcW w:w="727" w:type="dxa"/>
            <w:vAlign w:val="bottom"/>
          </w:tcPr>
          <w:p w14:paraId="561DEF9D" w14:textId="6748F0D0" w:rsidR="006F1AAA" w:rsidRDefault="006F1AAA" w:rsidP="006F1AAA">
            <w:pPr>
              <w:jc w:val="center"/>
            </w:pPr>
            <w:r>
              <w:rPr>
                <w:rFonts w:ascii="Calibri" w:hAnsi="Calibri" w:cs="Calibri"/>
                <w:color w:val="000000"/>
              </w:rPr>
              <w:t>1.07</w:t>
            </w:r>
          </w:p>
        </w:tc>
        <w:tc>
          <w:tcPr>
            <w:tcW w:w="757" w:type="dxa"/>
            <w:vAlign w:val="bottom"/>
          </w:tcPr>
          <w:p w14:paraId="557E4A80" w14:textId="77777777" w:rsidR="006F1AAA" w:rsidRDefault="006F1AAA" w:rsidP="006F1AAA">
            <w:pPr>
              <w:jc w:val="center"/>
            </w:pPr>
          </w:p>
        </w:tc>
        <w:tc>
          <w:tcPr>
            <w:tcW w:w="757" w:type="dxa"/>
            <w:vAlign w:val="bottom"/>
          </w:tcPr>
          <w:p w14:paraId="68FD02FD" w14:textId="77777777" w:rsidR="006F1AAA" w:rsidRDefault="006F1AAA" w:rsidP="006F1AAA">
            <w:pPr>
              <w:jc w:val="center"/>
            </w:pPr>
          </w:p>
        </w:tc>
        <w:tc>
          <w:tcPr>
            <w:tcW w:w="726" w:type="dxa"/>
            <w:vAlign w:val="bottom"/>
          </w:tcPr>
          <w:p w14:paraId="4D6892BB" w14:textId="77777777" w:rsidR="006F1AAA" w:rsidRDefault="006F1AAA" w:rsidP="006F1AAA">
            <w:pPr>
              <w:jc w:val="center"/>
            </w:pPr>
          </w:p>
        </w:tc>
        <w:tc>
          <w:tcPr>
            <w:tcW w:w="727" w:type="dxa"/>
            <w:vAlign w:val="bottom"/>
          </w:tcPr>
          <w:p w14:paraId="3FD1DC36" w14:textId="77777777" w:rsidR="006F1AAA" w:rsidRDefault="006F1AAA" w:rsidP="006F1AAA">
            <w:pPr>
              <w:jc w:val="center"/>
            </w:pPr>
          </w:p>
        </w:tc>
        <w:tc>
          <w:tcPr>
            <w:tcW w:w="727" w:type="dxa"/>
            <w:vAlign w:val="bottom"/>
          </w:tcPr>
          <w:p w14:paraId="70F9DA02" w14:textId="77777777" w:rsidR="006F1AAA" w:rsidRDefault="006F1AAA" w:rsidP="006F1AAA">
            <w:pPr>
              <w:jc w:val="center"/>
            </w:pPr>
          </w:p>
        </w:tc>
        <w:tc>
          <w:tcPr>
            <w:tcW w:w="753" w:type="dxa"/>
            <w:vAlign w:val="bottom"/>
          </w:tcPr>
          <w:p w14:paraId="3C2D6920" w14:textId="0976C69B" w:rsidR="006F1AAA" w:rsidRDefault="006F1AAA" w:rsidP="006F1AAA">
            <w:pPr>
              <w:jc w:val="center"/>
            </w:pPr>
            <w:r>
              <w:rPr>
                <w:rFonts w:ascii="Calibri" w:hAnsi="Calibri" w:cs="Calibri"/>
                <w:color w:val="000000"/>
              </w:rPr>
              <w:t>1.04</w:t>
            </w:r>
          </w:p>
        </w:tc>
        <w:tc>
          <w:tcPr>
            <w:tcW w:w="740" w:type="dxa"/>
            <w:vAlign w:val="bottom"/>
          </w:tcPr>
          <w:p w14:paraId="3526C7C5" w14:textId="4F79566F" w:rsidR="006F1AAA" w:rsidRPr="00293413" w:rsidRDefault="006F1AAA" w:rsidP="006F1AAA">
            <w:pPr>
              <w:jc w:val="center"/>
            </w:pPr>
            <w:r>
              <w:rPr>
                <w:rFonts w:ascii="Calibri" w:hAnsi="Calibri" w:cs="Calibri"/>
                <w:color w:val="000000"/>
              </w:rPr>
              <w:t>73</w:t>
            </w:r>
          </w:p>
        </w:tc>
        <w:tc>
          <w:tcPr>
            <w:tcW w:w="700" w:type="dxa"/>
            <w:vAlign w:val="bottom"/>
          </w:tcPr>
          <w:p w14:paraId="3EA0BBBC" w14:textId="2BF6D4A6" w:rsidR="006F1AAA" w:rsidRDefault="006F1AAA" w:rsidP="006F1AAA">
            <w:pPr>
              <w:jc w:val="center"/>
              <w:rPr>
                <w:rFonts w:ascii="Calibri" w:hAnsi="Calibri" w:cs="Calibri"/>
                <w:color w:val="000000"/>
              </w:rPr>
            </w:pPr>
            <w:r>
              <w:rPr>
                <w:rFonts w:ascii="Calibri" w:hAnsi="Calibri" w:cs="Calibri"/>
                <w:color w:val="000000"/>
              </w:rPr>
              <w:t>1.00</w:t>
            </w:r>
          </w:p>
        </w:tc>
      </w:tr>
      <w:tr w:rsidR="006F1AAA" w14:paraId="263DF4A4" w14:textId="6379DFEB" w:rsidTr="003C7164">
        <w:tc>
          <w:tcPr>
            <w:tcW w:w="1134" w:type="dxa"/>
          </w:tcPr>
          <w:p w14:paraId="14A57B3F" w14:textId="77777777" w:rsidR="006F1AAA" w:rsidRDefault="006F1AAA" w:rsidP="006F1AAA">
            <w:r>
              <w:t>FY 2012</w:t>
            </w:r>
          </w:p>
        </w:tc>
        <w:tc>
          <w:tcPr>
            <w:tcW w:w="725" w:type="dxa"/>
            <w:vAlign w:val="bottom"/>
          </w:tcPr>
          <w:p w14:paraId="2B75E0A0" w14:textId="22689BA1" w:rsidR="006F1AAA" w:rsidRDefault="006F1AAA" w:rsidP="006F1AAA">
            <w:pPr>
              <w:jc w:val="center"/>
            </w:pPr>
            <w:r>
              <w:rPr>
                <w:rFonts w:ascii="Calibri" w:hAnsi="Calibri" w:cs="Calibri"/>
                <w:color w:val="000000"/>
              </w:rPr>
              <w:t>1.03</w:t>
            </w:r>
          </w:p>
        </w:tc>
        <w:tc>
          <w:tcPr>
            <w:tcW w:w="726" w:type="dxa"/>
            <w:vAlign w:val="bottom"/>
          </w:tcPr>
          <w:p w14:paraId="64373190" w14:textId="538EE2BA" w:rsidR="006F1AAA" w:rsidRDefault="006F1AAA" w:rsidP="006F1AAA">
            <w:pPr>
              <w:jc w:val="center"/>
            </w:pPr>
            <w:r>
              <w:rPr>
                <w:rFonts w:ascii="Calibri" w:hAnsi="Calibri" w:cs="Calibri"/>
                <w:color w:val="000000"/>
              </w:rPr>
              <w:t>1.02</w:t>
            </w:r>
          </w:p>
        </w:tc>
        <w:tc>
          <w:tcPr>
            <w:tcW w:w="727" w:type="dxa"/>
            <w:vAlign w:val="bottom"/>
          </w:tcPr>
          <w:p w14:paraId="3475608B" w14:textId="3D0D964C" w:rsidR="006F1AAA" w:rsidRDefault="006F1AAA" w:rsidP="006F1AAA">
            <w:pPr>
              <w:jc w:val="center"/>
            </w:pPr>
            <w:r>
              <w:rPr>
                <w:rFonts w:ascii="Calibri" w:hAnsi="Calibri" w:cs="Calibri"/>
                <w:color w:val="000000"/>
              </w:rPr>
              <w:t>1.06</w:t>
            </w:r>
          </w:p>
        </w:tc>
        <w:tc>
          <w:tcPr>
            <w:tcW w:w="757" w:type="dxa"/>
            <w:vAlign w:val="bottom"/>
          </w:tcPr>
          <w:p w14:paraId="1605784F" w14:textId="4D4BAD83" w:rsidR="006F1AAA" w:rsidRDefault="006F1AAA" w:rsidP="006F1AAA">
            <w:pPr>
              <w:jc w:val="center"/>
            </w:pPr>
            <w:r>
              <w:rPr>
                <w:rFonts w:ascii="Calibri" w:hAnsi="Calibri" w:cs="Calibri"/>
                <w:color w:val="000000"/>
              </w:rPr>
              <w:t>1.15</w:t>
            </w:r>
          </w:p>
        </w:tc>
        <w:tc>
          <w:tcPr>
            <w:tcW w:w="757" w:type="dxa"/>
            <w:vAlign w:val="bottom"/>
          </w:tcPr>
          <w:p w14:paraId="6AE530EF" w14:textId="77777777" w:rsidR="006F1AAA" w:rsidRDefault="006F1AAA" w:rsidP="006F1AAA">
            <w:pPr>
              <w:jc w:val="center"/>
            </w:pPr>
          </w:p>
        </w:tc>
        <w:tc>
          <w:tcPr>
            <w:tcW w:w="726" w:type="dxa"/>
            <w:vAlign w:val="bottom"/>
          </w:tcPr>
          <w:p w14:paraId="7593308A" w14:textId="77777777" w:rsidR="006F1AAA" w:rsidRDefault="006F1AAA" w:rsidP="006F1AAA">
            <w:pPr>
              <w:jc w:val="center"/>
            </w:pPr>
          </w:p>
        </w:tc>
        <w:tc>
          <w:tcPr>
            <w:tcW w:w="727" w:type="dxa"/>
            <w:vAlign w:val="bottom"/>
          </w:tcPr>
          <w:p w14:paraId="2ABA17BE" w14:textId="77777777" w:rsidR="006F1AAA" w:rsidRDefault="006F1AAA" w:rsidP="006F1AAA">
            <w:pPr>
              <w:jc w:val="center"/>
            </w:pPr>
          </w:p>
        </w:tc>
        <w:tc>
          <w:tcPr>
            <w:tcW w:w="727" w:type="dxa"/>
            <w:vAlign w:val="bottom"/>
          </w:tcPr>
          <w:p w14:paraId="402DA65F" w14:textId="77777777" w:rsidR="006F1AAA" w:rsidRDefault="006F1AAA" w:rsidP="006F1AAA">
            <w:pPr>
              <w:jc w:val="center"/>
            </w:pPr>
          </w:p>
        </w:tc>
        <w:tc>
          <w:tcPr>
            <w:tcW w:w="753" w:type="dxa"/>
            <w:vAlign w:val="bottom"/>
          </w:tcPr>
          <w:p w14:paraId="325455E4" w14:textId="6A52B180" w:rsidR="006F1AAA" w:rsidRDefault="006F1AAA" w:rsidP="006F1AAA">
            <w:pPr>
              <w:jc w:val="center"/>
            </w:pPr>
            <w:r>
              <w:rPr>
                <w:rFonts w:ascii="Calibri" w:hAnsi="Calibri" w:cs="Calibri"/>
                <w:color w:val="000000"/>
              </w:rPr>
              <w:t>1.04</w:t>
            </w:r>
          </w:p>
        </w:tc>
        <w:tc>
          <w:tcPr>
            <w:tcW w:w="740" w:type="dxa"/>
            <w:vAlign w:val="bottom"/>
          </w:tcPr>
          <w:p w14:paraId="686FDB53" w14:textId="78897F39" w:rsidR="006F1AAA" w:rsidRPr="00293413" w:rsidRDefault="006F1AAA" w:rsidP="006F1AAA">
            <w:pPr>
              <w:jc w:val="center"/>
            </w:pPr>
            <w:r>
              <w:rPr>
                <w:rFonts w:ascii="Calibri" w:hAnsi="Calibri" w:cs="Calibri"/>
                <w:color w:val="000000"/>
              </w:rPr>
              <w:t>75</w:t>
            </w:r>
          </w:p>
        </w:tc>
        <w:tc>
          <w:tcPr>
            <w:tcW w:w="700" w:type="dxa"/>
            <w:vAlign w:val="bottom"/>
          </w:tcPr>
          <w:p w14:paraId="55902F09" w14:textId="3748BF75" w:rsidR="006F1AAA" w:rsidRDefault="006F1AAA" w:rsidP="006F1AAA">
            <w:pPr>
              <w:jc w:val="center"/>
              <w:rPr>
                <w:rFonts w:ascii="Calibri" w:hAnsi="Calibri" w:cs="Calibri"/>
                <w:color w:val="000000"/>
              </w:rPr>
            </w:pPr>
            <w:r>
              <w:rPr>
                <w:rFonts w:ascii="Calibri" w:hAnsi="Calibri" w:cs="Calibri"/>
                <w:color w:val="000000"/>
              </w:rPr>
              <w:t>1.01</w:t>
            </w:r>
          </w:p>
        </w:tc>
      </w:tr>
      <w:tr w:rsidR="006F1AAA" w14:paraId="2B828440" w14:textId="5F01F93E" w:rsidTr="003C7164">
        <w:tc>
          <w:tcPr>
            <w:tcW w:w="1134" w:type="dxa"/>
          </w:tcPr>
          <w:p w14:paraId="31DF0A3A" w14:textId="77777777" w:rsidR="006F1AAA" w:rsidRDefault="006F1AAA" w:rsidP="006F1AAA">
            <w:r>
              <w:t>FY 2013</w:t>
            </w:r>
          </w:p>
        </w:tc>
        <w:tc>
          <w:tcPr>
            <w:tcW w:w="725" w:type="dxa"/>
            <w:vAlign w:val="bottom"/>
          </w:tcPr>
          <w:p w14:paraId="549813F5" w14:textId="529A01D2" w:rsidR="006F1AAA" w:rsidRDefault="006F1AAA" w:rsidP="006F1AAA">
            <w:pPr>
              <w:jc w:val="center"/>
            </w:pPr>
            <w:r>
              <w:rPr>
                <w:rFonts w:ascii="Calibri" w:hAnsi="Calibri" w:cs="Calibri"/>
                <w:color w:val="000000"/>
              </w:rPr>
              <w:t>1.10</w:t>
            </w:r>
          </w:p>
        </w:tc>
        <w:tc>
          <w:tcPr>
            <w:tcW w:w="726" w:type="dxa"/>
            <w:vAlign w:val="bottom"/>
          </w:tcPr>
          <w:p w14:paraId="69428361" w14:textId="5D7D856A" w:rsidR="006F1AAA" w:rsidRDefault="006F1AAA" w:rsidP="006F1AAA">
            <w:pPr>
              <w:jc w:val="center"/>
            </w:pPr>
            <w:r>
              <w:rPr>
                <w:rFonts w:ascii="Calibri" w:hAnsi="Calibri" w:cs="Calibri"/>
                <w:color w:val="000000"/>
              </w:rPr>
              <w:t>1.02</w:t>
            </w:r>
          </w:p>
        </w:tc>
        <w:tc>
          <w:tcPr>
            <w:tcW w:w="727" w:type="dxa"/>
            <w:vAlign w:val="bottom"/>
          </w:tcPr>
          <w:p w14:paraId="37B7173A" w14:textId="05CF2568" w:rsidR="006F1AAA" w:rsidRDefault="006F1AAA" w:rsidP="006F1AAA">
            <w:pPr>
              <w:jc w:val="center"/>
            </w:pPr>
            <w:r>
              <w:rPr>
                <w:rFonts w:ascii="Calibri" w:hAnsi="Calibri" w:cs="Calibri"/>
                <w:color w:val="000000"/>
              </w:rPr>
              <w:t>1.06</w:t>
            </w:r>
          </w:p>
        </w:tc>
        <w:tc>
          <w:tcPr>
            <w:tcW w:w="757" w:type="dxa"/>
            <w:vAlign w:val="bottom"/>
          </w:tcPr>
          <w:p w14:paraId="0602D0A2" w14:textId="3E175F72" w:rsidR="006F1AAA" w:rsidRDefault="006F1AAA" w:rsidP="006F1AAA">
            <w:pPr>
              <w:jc w:val="center"/>
            </w:pPr>
            <w:r>
              <w:rPr>
                <w:rFonts w:ascii="Calibri" w:hAnsi="Calibri" w:cs="Calibri"/>
                <w:color w:val="000000"/>
              </w:rPr>
              <w:t>1.20</w:t>
            </w:r>
          </w:p>
        </w:tc>
        <w:tc>
          <w:tcPr>
            <w:tcW w:w="757" w:type="dxa"/>
            <w:vAlign w:val="bottom"/>
          </w:tcPr>
          <w:p w14:paraId="350A920C" w14:textId="47888952" w:rsidR="006F1AAA" w:rsidRDefault="006F1AAA" w:rsidP="006F1AAA">
            <w:pPr>
              <w:jc w:val="center"/>
            </w:pPr>
            <w:r>
              <w:rPr>
                <w:rFonts w:ascii="Calibri" w:hAnsi="Calibri" w:cs="Calibri"/>
                <w:color w:val="000000"/>
              </w:rPr>
              <w:t>1.08</w:t>
            </w:r>
          </w:p>
        </w:tc>
        <w:tc>
          <w:tcPr>
            <w:tcW w:w="726" w:type="dxa"/>
            <w:vAlign w:val="bottom"/>
          </w:tcPr>
          <w:p w14:paraId="71919CDD" w14:textId="5E9765BA" w:rsidR="006F1AAA" w:rsidRDefault="006F1AAA" w:rsidP="006F1AAA">
            <w:pPr>
              <w:jc w:val="center"/>
            </w:pPr>
            <w:r>
              <w:rPr>
                <w:rFonts w:ascii="Calibri" w:hAnsi="Calibri" w:cs="Calibri"/>
                <w:color w:val="000000"/>
              </w:rPr>
              <w:t>1.01</w:t>
            </w:r>
          </w:p>
        </w:tc>
        <w:tc>
          <w:tcPr>
            <w:tcW w:w="727" w:type="dxa"/>
            <w:vAlign w:val="bottom"/>
          </w:tcPr>
          <w:p w14:paraId="7A3BC790" w14:textId="77777777" w:rsidR="006F1AAA" w:rsidRDefault="006F1AAA" w:rsidP="006F1AAA">
            <w:pPr>
              <w:jc w:val="center"/>
            </w:pPr>
          </w:p>
        </w:tc>
        <w:tc>
          <w:tcPr>
            <w:tcW w:w="727" w:type="dxa"/>
            <w:vAlign w:val="bottom"/>
          </w:tcPr>
          <w:p w14:paraId="6263D420" w14:textId="77777777" w:rsidR="006F1AAA" w:rsidRDefault="006F1AAA" w:rsidP="006F1AAA">
            <w:pPr>
              <w:jc w:val="center"/>
            </w:pPr>
          </w:p>
        </w:tc>
        <w:tc>
          <w:tcPr>
            <w:tcW w:w="753" w:type="dxa"/>
            <w:vAlign w:val="bottom"/>
          </w:tcPr>
          <w:p w14:paraId="2ACDB05C" w14:textId="69E40EC8" w:rsidR="006F1AAA" w:rsidRDefault="006F1AAA" w:rsidP="006F1AAA">
            <w:pPr>
              <w:jc w:val="center"/>
            </w:pPr>
            <w:r>
              <w:rPr>
                <w:rFonts w:ascii="Calibri" w:hAnsi="Calibri" w:cs="Calibri"/>
                <w:color w:val="000000"/>
              </w:rPr>
              <w:t>1.07</w:t>
            </w:r>
          </w:p>
        </w:tc>
        <w:tc>
          <w:tcPr>
            <w:tcW w:w="740" w:type="dxa"/>
            <w:vAlign w:val="bottom"/>
          </w:tcPr>
          <w:p w14:paraId="2FF38001" w14:textId="097934F3" w:rsidR="006F1AAA" w:rsidRPr="00293413" w:rsidRDefault="006F1AAA" w:rsidP="006F1AAA">
            <w:pPr>
              <w:jc w:val="center"/>
            </w:pPr>
            <w:r>
              <w:rPr>
                <w:rFonts w:ascii="Calibri" w:hAnsi="Calibri" w:cs="Calibri"/>
                <w:color w:val="000000"/>
              </w:rPr>
              <w:t>112</w:t>
            </w:r>
          </w:p>
        </w:tc>
        <w:tc>
          <w:tcPr>
            <w:tcW w:w="700" w:type="dxa"/>
            <w:vAlign w:val="bottom"/>
          </w:tcPr>
          <w:p w14:paraId="69C3B6E2" w14:textId="7CE5B0D9" w:rsidR="006F1AAA" w:rsidRDefault="006F1AAA" w:rsidP="006F1AAA">
            <w:pPr>
              <w:jc w:val="center"/>
              <w:rPr>
                <w:rFonts w:ascii="Calibri" w:hAnsi="Calibri" w:cs="Calibri"/>
                <w:color w:val="000000"/>
              </w:rPr>
            </w:pPr>
            <w:r>
              <w:rPr>
                <w:rFonts w:ascii="Calibri" w:hAnsi="Calibri" w:cs="Calibri"/>
                <w:color w:val="000000"/>
              </w:rPr>
              <w:t>1.03</w:t>
            </w:r>
          </w:p>
        </w:tc>
      </w:tr>
      <w:tr w:rsidR="006F1AAA" w14:paraId="64438C12" w14:textId="0DEA524F" w:rsidTr="003C7164">
        <w:tc>
          <w:tcPr>
            <w:tcW w:w="1134" w:type="dxa"/>
          </w:tcPr>
          <w:p w14:paraId="49185594" w14:textId="77777777" w:rsidR="006F1AAA" w:rsidRDefault="006F1AAA" w:rsidP="006F1AAA">
            <w:r>
              <w:t>FY 2014</w:t>
            </w:r>
          </w:p>
        </w:tc>
        <w:tc>
          <w:tcPr>
            <w:tcW w:w="725" w:type="dxa"/>
            <w:vAlign w:val="bottom"/>
          </w:tcPr>
          <w:p w14:paraId="4597EFCC" w14:textId="4A029904" w:rsidR="006F1AAA" w:rsidRDefault="006F1AAA" w:rsidP="006F1AAA">
            <w:pPr>
              <w:jc w:val="center"/>
            </w:pPr>
            <w:r>
              <w:rPr>
                <w:rFonts w:ascii="Calibri" w:hAnsi="Calibri" w:cs="Calibri"/>
                <w:color w:val="000000"/>
              </w:rPr>
              <w:t>1.08</w:t>
            </w:r>
          </w:p>
        </w:tc>
        <w:tc>
          <w:tcPr>
            <w:tcW w:w="726" w:type="dxa"/>
            <w:vAlign w:val="bottom"/>
          </w:tcPr>
          <w:p w14:paraId="70D74790" w14:textId="1A400B9D" w:rsidR="006F1AAA" w:rsidRDefault="006F1AAA" w:rsidP="006F1AAA">
            <w:pPr>
              <w:jc w:val="center"/>
            </w:pPr>
            <w:r>
              <w:rPr>
                <w:rFonts w:ascii="Calibri" w:hAnsi="Calibri" w:cs="Calibri"/>
                <w:color w:val="000000"/>
              </w:rPr>
              <w:t>1.01</w:t>
            </w:r>
          </w:p>
        </w:tc>
        <w:tc>
          <w:tcPr>
            <w:tcW w:w="727" w:type="dxa"/>
            <w:vAlign w:val="bottom"/>
          </w:tcPr>
          <w:p w14:paraId="0DE15315" w14:textId="724FDC9F" w:rsidR="006F1AAA" w:rsidRDefault="006F1AAA" w:rsidP="006F1AAA">
            <w:pPr>
              <w:jc w:val="center"/>
            </w:pPr>
            <w:r>
              <w:rPr>
                <w:rFonts w:ascii="Calibri" w:hAnsi="Calibri" w:cs="Calibri"/>
                <w:color w:val="000000"/>
              </w:rPr>
              <w:t>1.09</w:t>
            </w:r>
          </w:p>
        </w:tc>
        <w:tc>
          <w:tcPr>
            <w:tcW w:w="757" w:type="dxa"/>
            <w:vAlign w:val="bottom"/>
          </w:tcPr>
          <w:p w14:paraId="183CF22C" w14:textId="451BE57C" w:rsidR="006F1AAA" w:rsidRDefault="006F1AAA" w:rsidP="006F1AAA">
            <w:pPr>
              <w:jc w:val="center"/>
            </w:pPr>
            <w:r>
              <w:rPr>
                <w:rFonts w:ascii="Calibri" w:hAnsi="Calibri" w:cs="Calibri"/>
                <w:color w:val="000000"/>
              </w:rPr>
              <w:t>1.24</w:t>
            </w:r>
          </w:p>
        </w:tc>
        <w:tc>
          <w:tcPr>
            <w:tcW w:w="757" w:type="dxa"/>
            <w:vAlign w:val="bottom"/>
          </w:tcPr>
          <w:p w14:paraId="75233588" w14:textId="5356369F" w:rsidR="006F1AAA" w:rsidRDefault="006F1AAA" w:rsidP="006F1AAA">
            <w:pPr>
              <w:jc w:val="center"/>
            </w:pPr>
            <w:r>
              <w:rPr>
                <w:rFonts w:ascii="Calibri" w:hAnsi="Calibri" w:cs="Calibri"/>
                <w:color w:val="000000"/>
              </w:rPr>
              <w:t>1.07</w:t>
            </w:r>
          </w:p>
        </w:tc>
        <w:tc>
          <w:tcPr>
            <w:tcW w:w="726" w:type="dxa"/>
            <w:vAlign w:val="bottom"/>
          </w:tcPr>
          <w:p w14:paraId="62C9A168" w14:textId="4A7644CD" w:rsidR="006F1AAA" w:rsidRDefault="006F1AAA" w:rsidP="006F1AAA">
            <w:pPr>
              <w:jc w:val="center"/>
            </w:pPr>
            <w:r>
              <w:rPr>
                <w:rFonts w:ascii="Calibri" w:hAnsi="Calibri" w:cs="Calibri"/>
                <w:color w:val="000000"/>
              </w:rPr>
              <w:t>1.09</w:t>
            </w:r>
          </w:p>
        </w:tc>
        <w:tc>
          <w:tcPr>
            <w:tcW w:w="727" w:type="dxa"/>
            <w:vAlign w:val="bottom"/>
          </w:tcPr>
          <w:p w14:paraId="6C420E7C" w14:textId="77E4177C" w:rsidR="006F1AAA" w:rsidRDefault="006F1AAA" w:rsidP="006F1AAA">
            <w:pPr>
              <w:jc w:val="center"/>
            </w:pPr>
            <w:r>
              <w:rPr>
                <w:rFonts w:ascii="Calibri" w:hAnsi="Calibri" w:cs="Calibri"/>
                <w:color w:val="000000"/>
              </w:rPr>
              <w:t>1.08</w:t>
            </w:r>
          </w:p>
        </w:tc>
        <w:tc>
          <w:tcPr>
            <w:tcW w:w="727" w:type="dxa"/>
            <w:vAlign w:val="bottom"/>
          </w:tcPr>
          <w:p w14:paraId="3D32A6FB" w14:textId="560955A2" w:rsidR="006F1AAA" w:rsidRDefault="006F1AAA" w:rsidP="006F1AAA">
            <w:pPr>
              <w:jc w:val="center"/>
            </w:pPr>
            <w:r>
              <w:rPr>
                <w:rFonts w:ascii="Calibri" w:hAnsi="Calibri" w:cs="Calibri"/>
                <w:color w:val="000000"/>
              </w:rPr>
              <w:t>1.11</w:t>
            </w:r>
          </w:p>
        </w:tc>
        <w:tc>
          <w:tcPr>
            <w:tcW w:w="753" w:type="dxa"/>
            <w:vAlign w:val="bottom"/>
          </w:tcPr>
          <w:p w14:paraId="5B3CAF71" w14:textId="58A37C03" w:rsidR="006F1AAA" w:rsidRDefault="006F1AAA" w:rsidP="006F1AAA">
            <w:pPr>
              <w:jc w:val="center"/>
            </w:pPr>
            <w:r>
              <w:rPr>
                <w:rFonts w:ascii="Calibri" w:hAnsi="Calibri" w:cs="Calibri"/>
                <w:color w:val="000000"/>
              </w:rPr>
              <w:t>1.09</w:t>
            </w:r>
          </w:p>
        </w:tc>
        <w:tc>
          <w:tcPr>
            <w:tcW w:w="740" w:type="dxa"/>
            <w:vAlign w:val="bottom"/>
          </w:tcPr>
          <w:p w14:paraId="42236E19" w14:textId="000DA192" w:rsidR="006F1AAA" w:rsidRPr="00293413" w:rsidRDefault="006F1AAA" w:rsidP="006F1AAA">
            <w:pPr>
              <w:jc w:val="center"/>
            </w:pPr>
            <w:r>
              <w:rPr>
                <w:rFonts w:ascii="Calibri" w:hAnsi="Calibri" w:cs="Calibri"/>
                <w:color w:val="000000"/>
              </w:rPr>
              <w:t>145</w:t>
            </w:r>
          </w:p>
        </w:tc>
        <w:tc>
          <w:tcPr>
            <w:tcW w:w="700" w:type="dxa"/>
            <w:vAlign w:val="bottom"/>
          </w:tcPr>
          <w:p w14:paraId="71646601" w14:textId="12BE65FA" w:rsidR="006F1AAA" w:rsidRDefault="006F1AAA" w:rsidP="006F1AAA">
            <w:pPr>
              <w:jc w:val="center"/>
              <w:rPr>
                <w:rFonts w:ascii="Calibri" w:hAnsi="Calibri" w:cs="Calibri"/>
                <w:color w:val="000000"/>
              </w:rPr>
            </w:pPr>
            <w:r>
              <w:rPr>
                <w:rFonts w:ascii="Calibri" w:hAnsi="Calibri" w:cs="Calibri"/>
                <w:color w:val="000000"/>
              </w:rPr>
              <w:t>1.05</w:t>
            </w:r>
          </w:p>
        </w:tc>
      </w:tr>
      <w:tr w:rsidR="006F1AAA" w14:paraId="16F47E6D" w14:textId="7CEF98BC" w:rsidTr="003C7164">
        <w:tc>
          <w:tcPr>
            <w:tcW w:w="1134" w:type="dxa"/>
          </w:tcPr>
          <w:p w14:paraId="0E618A53" w14:textId="77777777" w:rsidR="006F1AAA" w:rsidRDefault="006F1AAA" w:rsidP="006F1AAA">
            <w:r>
              <w:t>FY 2015</w:t>
            </w:r>
          </w:p>
        </w:tc>
        <w:tc>
          <w:tcPr>
            <w:tcW w:w="725" w:type="dxa"/>
            <w:vAlign w:val="bottom"/>
          </w:tcPr>
          <w:p w14:paraId="4F044853" w14:textId="38AE0331" w:rsidR="006F1AAA" w:rsidRDefault="006F1AAA" w:rsidP="006F1AAA">
            <w:pPr>
              <w:jc w:val="center"/>
            </w:pPr>
            <w:r>
              <w:rPr>
                <w:rFonts w:ascii="Calibri" w:hAnsi="Calibri" w:cs="Calibri"/>
                <w:color w:val="000000"/>
              </w:rPr>
              <w:t>1.05</w:t>
            </w:r>
          </w:p>
        </w:tc>
        <w:tc>
          <w:tcPr>
            <w:tcW w:w="726" w:type="dxa"/>
            <w:vAlign w:val="bottom"/>
          </w:tcPr>
          <w:p w14:paraId="72577E80" w14:textId="261CF2D0" w:rsidR="006F1AAA" w:rsidRDefault="006F1AAA" w:rsidP="006F1AAA">
            <w:pPr>
              <w:jc w:val="center"/>
            </w:pPr>
            <w:r>
              <w:rPr>
                <w:rFonts w:ascii="Calibri" w:hAnsi="Calibri" w:cs="Calibri"/>
                <w:color w:val="000000"/>
              </w:rPr>
              <w:t>1.01</w:t>
            </w:r>
          </w:p>
        </w:tc>
        <w:tc>
          <w:tcPr>
            <w:tcW w:w="727" w:type="dxa"/>
            <w:vAlign w:val="bottom"/>
          </w:tcPr>
          <w:p w14:paraId="219CF95A" w14:textId="59FA4E15" w:rsidR="006F1AAA" w:rsidRDefault="006F1AAA" w:rsidP="006F1AAA">
            <w:pPr>
              <w:jc w:val="center"/>
            </w:pPr>
            <w:r>
              <w:rPr>
                <w:rFonts w:ascii="Calibri" w:hAnsi="Calibri" w:cs="Calibri"/>
                <w:color w:val="000000"/>
              </w:rPr>
              <w:t>1.06</w:t>
            </w:r>
          </w:p>
        </w:tc>
        <w:tc>
          <w:tcPr>
            <w:tcW w:w="757" w:type="dxa"/>
            <w:vAlign w:val="bottom"/>
          </w:tcPr>
          <w:p w14:paraId="1E16A71F" w14:textId="763B67DA" w:rsidR="006F1AAA" w:rsidRDefault="006F1AAA" w:rsidP="006F1AAA">
            <w:pPr>
              <w:jc w:val="center"/>
            </w:pPr>
            <w:r>
              <w:rPr>
                <w:rFonts w:ascii="Calibri" w:hAnsi="Calibri" w:cs="Calibri"/>
                <w:color w:val="000000"/>
              </w:rPr>
              <w:t>1.23</w:t>
            </w:r>
          </w:p>
        </w:tc>
        <w:tc>
          <w:tcPr>
            <w:tcW w:w="757" w:type="dxa"/>
            <w:vAlign w:val="bottom"/>
          </w:tcPr>
          <w:p w14:paraId="6616174B" w14:textId="4B42931C" w:rsidR="006F1AAA" w:rsidRDefault="006F1AAA" w:rsidP="006F1AAA">
            <w:pPr>
              <w:jc w:val="center"/>
            </w:pPr>
            <w:r>
              <w:rPr>
                <w:rFonts w:ascii="Calibri" w:hAnsi="Calibri" w:cs="Calibri"/>
                <w:color w:val="000000"/>
              </w:rPr>
              <w:t>1.04</w:t>
            </w:r>
          </w:p>
        </w:tc>
        <w:tc>
          <w:tcPr>
            <w:tcW w:w="726" w:type="dxa"/>
            <w:vAlign w:val="bottom"/>
          </w:tcPr>
          <w:p w14:paraId="78887993" w14:textId="655F8E67" w:rsidR="006F1AAA" w:rsidRDefault="006F1AAA" w:rsidP="006F1AAA">
            <w:pPr>
              <w:jc w:val="center"/>
            </w:pPr>
            <w:r>
              <w:rPr>
                <w:rFonts w:ascii="Calibri" w:hAnsi="Calibri" w:cs="Calibri"/>
                <w:color w:val="000000"/>
              </w:rPr>
              <w:t>0.99</w:t>
            </w:r>
          </w:p>
        </w:tc>
        <w:tc>
          <w:tcPr>
            <w:tcW w:w="727" w:type="dxa"/>
            <w:vAlign w:val="bottom"/>
          </w:tcPr>
          <w:p w14:paraId="26ACFABC" w14:textId="4087F0B0" w:rsidR="006F1AAA" w:rsidRDefault="006F1AAA" w:rsidP="006F1AAA">
            <w:pPr>
              <w:jc w:val="center"/>
            </w:pPr>
            <w:r>
              <w:rPr>
                <w:rFonts w:ascii="Calibri" w:hAnsi="Calibri" w:cs="Calibri"/>
                <w:color w:val="000000"/>
              </w:rPr>
              <w:t>1.19</w:t>
            </w:r>
          </w:p>
        </w:tc>
        <w:tc>
          <w:tcPr>
            <w:tcW w:w="727" w:type="dxa"/>
            <w:vAlign w:val="bottom"/>
          </w:tcPr>
          <w:p w14:paraId="551BBB5D" w14:textId="609DF68B" w:rsidR="006F1AAA" w:rsidRDefault="006F1AAA" w:rsidP="006F1AAA">
            <w:pPr>
              <w:jc w:val="center"/>
            </w:pPr>
            <w:r>
              <w:rPr>
                <w:rFonts w:ascii="Calibri" w:hAnsi="Calibri" w:cs="Calibri"/>
                <w:color w:val="000000"/>
              </w:rPr>
              <w:t>1.09</w:t>
            </w:r>
          </w:p>
        </w:tc>
        <w:tc>
          <w:tcPr>
            <w:tcW w:w="753" w:type="dxa"/>
            <w:vAlign w:val="bottom"/>
          </w:tcPr>
          <w:p w14:paraId="23EFBA0D" w14:textId="7C57DF31" w:rsidR="006F1AAA" w:rsidRDefault="006F1AAA" w:rsidP="006F1AAA">
            <w:pPr>
              <w:jc w:val="center"/>
            </w:pPr>
            <w:r>
              <w:rPr>
                <w:rFonts w:ascii="Calibri" w:hAnsi="Calibri" w:cs="Calibri"/>
                <w:color w:val="000000"/>
              </w:rPr>
              <w:t>1.07</w:t>
            </w:r>
          </w:p>
        </w:tc>
        <w:tc>
          <w:tcPr>
            <w:tcW w:w="740" w:type="dxa"/>
            <w:vAlign w:val="bottom"/>
          </w:tcPr>
          <w:p w14:paraId="3EC14157" w14:textId="527523E9" w:rsidR="006F1AAA" w:rsidRPr="00293413" w:rsidRDefault="006F1AAA" w:rsidP="006F1AAA">
            <w:pPr>
              <w:jc w:val="center"/>
            </w:pPr>
            <w:r>
              <w:rPr>
                <w:rFonts w:ascii="Calibri" w:hAnsi="Calibri" w:cs="Calibri"/>
                <w:color w:val="000000"/>
              </w:rPr>
              <w:t>152</w:t>
            </w:r>
          </w:p>
        </w:tc>
        <w:tc>
          <w:tcPr>
            <w:tcW w:w="700" w:type="dxa"/>
            <w:vAlign w:val="bottom"/>
          </w:tcPr>
          <w:p w14:paraId="0EC35C43" w14:textId="2D5AE616" w:rsidR="006F1AAA" w:rsidRDefault="006F1AAA" w:rsidP="006F1AAA">
            <w:pPr>
              <w:jc w:val="center"/>
              <w:rPr>
                <w:rFonts w:ascii="Calibri" w:hAnsi="Calibri" w:cs="Calibri"/>
                <w:color w:val="000000"/>
              </w:rPr>
            </w:pPr>
            <w:r>
              <w:rPr>
                <w:rFonts w:ascii="Calibri" w:hAnsi="Calibri" w:cs="Calibri"/>
                <w:color w:val="000000"/>
              </w:rPr>
              <w:t>1.03</w:t>
            </w:r>
          </w:p>
        </w:tc>
      </w:tr>
      <w:tr w:rsidR="006F1AAA" w14:paraId="475A2756" w14:textId="1F7E25B0" w:rsidTr="003C7164">
        <w:tc>
          <w:tcPr>
            <w:tcW w:w="1134" w:type="dxa"/>
          </w:tcPr>
          <w:p w14:paraId="3CA2CA94" w14:textId="77777777" w:rsidR="006F1AAA" w:rsidRPr="002E444B" w:rsidRDefault="006F1AAA" w:rsidP="006F1AAA">
            <w:r w:rsidRPr="002E444B">
              <w:t>FY 2016</w:t>
            </w:r>
          </w:p>
        </w:tc>
        <w:tc>
          <w:tcPr>
            <w:tcW w:w="725" w:type="dxa"/>
            <w:vAlign w:val="bottom"/>
          </w:tcPr>
          <w:p w14:paraId="4C426555" w14:textId="59B19535" w:rsidR="006F1AAA" w:rsidRPr="002E444B" w:rsidRDefault="006F1AAA" w:rsidP="006F1AAA">
            <w:pPr>
              <w:jc w:val="center"/>
            </w:pPr>
            <w:r>
              <w:rPr>
                <w:rFonts w:ascii="Calibri" w:hAnsi="Calibri" w:cs="Calibri"/>
                <w:color w:val="000000"/>
              </w:rPr>
              <w:t>1.08</w:t>
            </w:r>
          </w:p>
        </w:tc>
        <w:tc>
          <w:tcPr>
            <w:tcW w:w="726" w:type="dxa"/>
            <w:vAlign w:val="bottom"/>
          </w:tcPr>
          <w:p w14:paraId="2A36585B" w14:textId="3C992A96" w:rsidR="006F1AAA" w:rsidRPr="002E444B" w:rsidRDefault="006F1AAA" w:rsidP="006F1AAA">
            <w:pPr>
              <w:jc w:val="center"/>
            </w:pPr>
            <w:r>
              <w:rPr>
                <w:rFonts w:ascii="Calibri" w:hAnsi="Calibri" w:cs="Calibri"/>
                <w:color w:val="000000"/>
              </w:rPr>
              <w:t>1.02</w:t>
            </w:r>
          </w:p>
        </w:tc>
        <w:tc>
          <w:tcPr>
            <w:tcW w:w="727" w:type="dxa"/>
            <w:vAlign w:val="bottom"/>
          </w:tcPr>
          <w:p w14:paraId="01E852CF" w14:textId="330CF3AA" w:rsidR="006F1AAA" w:rsidRPr="002E444B" w:rsidRDefault="006F1AAA" w:rsidP="006F1AAA">
            <w:pPr>
              <w:jc w:val="center"/>
            </w:pPr>
            <w:r>
              <w:rPr>
                <w:rFonts w:ascii="Calibri" w:hAnsi="Calibri" w:cs="Calibri"/>
                <w:color w:val="000000"/>
              </w:rPr>
              <w:t>1.04</w:t>
            </w:r>
          </w:p>
        </w:tc>
        <w:tc>
          <w:tcPr>
            <w:tcW w:w="757" w:type="dxa"/>
            <w:vAlign w:val="bottom"/>
          </w:tcPr>
          <w:p w14:paraId="48BD8812" w14:textId="195B581C" w:rsidR="006F1AAA" w:rsidRPr="002E444B" w:rsidRDefault="006F1AAA" w:rsidP="006F1AAA">
            <w:pPr>
              <w:jc w:val="center"/>
            </w:pPr>
            <w:r>
              <w:rPr>
                <w:rFonts w:ascii="Calibri" w:hAnsi="Calibri" w:cs="Calibri"/>
                <w:color w:val="000000"/>
              </w:rPr>
              <w:t>1.20</w:t>
            </w:r>
          </w:p>
        </w:tc>
        <w:tc>
          <w:tcPr>
            <w:tcW w:w="757" w:type="dxa"/>
            <w:vAlign w:val="bottom"/>
          </w:tcPr>
          <w:p w14:paraId="2A19EF36" w14:textId="76E22DD7" w:rsidR="006F1AAA" w:rsidRPr="002E444B" w:rsidRDefault="006F1AAA" w:rsidP="006F1AAA">
            <w:pPr>
              <w:jc w:val="center"/>
            </w:pPr>
            <w:r>
              <w:rPr>
                <w:rFonts w:ascii="Calibri" w:hAnsi="Calibri" w:cs="Calibri"/>
                <w:color w:val="000000"/>
              </w:rPr>
              <w:t>1.05</w:t>
            </w:r>
          </w:p>
        </w:tc>
        <w:tc>
          <w:tcPr>
            <w:tcW w:w="726" w:type="dxa"/>
            <w:vAlign w:val="bottom"/>
          </w:tcPr>
          <w:p w14:paraId="3FFABED6" w14:textId="5E057E0D" w:rsidR="006F1AAA" w:rsidRPr="002E444B" w:rsidRDefault="006F1AAA" w:rsidP="006F1AAA">
            <w:pPr>
              <w:jc w:val="center"/>
            </w:pPr>
            <w:r>
              <w:rPr>
                <w:rFonts w:ascii="Calibri" w:hAnsi="Calibri" w:cs="Calibri"/>
                <w:color w:val="000000"/>
              </w:rPr>
              <w:t>1.00</w:t>
            </w:r>
          </w:p>
        </w:tc>
        <w:tc>
          <w:tcPr>
            <w:tcW w:w="727" w:type="dxa"/>
            <w:vAlign w:val="bottom"/>
          </w:tcPr>
          <w:p w14:paraId="1177F7E1" w14:textId="13C196C3" w:rsidR="006F1AAA" w:rsidRPr="002E444B" w:rsidRDefault="006F1AAA" w:rsidP="006F1AAA">
            <w:pPr>
              <w:jc w:val="center"/>
            </w:pPr>
            <w:r>
              <w:rPr>
                <w:rFonts w:ascii="Calibri" w:hAnsi="Calibri" w:cs="Calibri"/>
                <w:color w:val="000000"/>
              </w:rPr>
              <w:t>1.00</w:t>
            </w:r>
          </w:p>
        </w:tc>
        <w:tc>
          <w:tcPr>
            <w:tcW w:w="727" w:type="dxa"/>
            <w:vAlign w:val="bottom"/>
          </w:tcPr>
          <w:p w14:paraId="426D27F0" w14:textId="0ADC19D1" w:rsidR="006F1AAA" w:rsidRPr="002E444B" w:rsidRDefault="006F1AAA" w:rsidP="006F1AAA">
            <w:pPr>
              <w:jc w:val="center"/>
            </w:pPr>
            <w:r>
              <w:rPr>
                <w:rFonts w:ascii="Calibri" w:hAnsi="Calibri" w:cs="Calibri"/>
                <w:color w:val="000000"/>
              </w:rPr>
              <w:t>1.07</w:t>
            </w:r>
          </w:p>
        </w:tc>
        <w:tc>
          <w:tcPr>
            <w:tcW w:w="753" w:type="dxa"/>
            <w:vAlign w:val="bottom"/>
          </w:tcPr>
          <w:p w14:paraId="70A1FAAD" w14:textId="308402ED" w:rsidR="006F1AAA" w:rsidRPr="002E444B" w:rsidRDefault="006F1AAA" w:rsidP="006F1AAA">
            <w:pPr>
              <w:jc w:val="center"/>
            </w:pPr>
            <w:r>
              <w:rPr>
                <w:rFonts w:ascii="Calibri" w:hAnsi="Calibri" w:cs="Calibri"/>
                <w:color w:val="000000"/>
              </w:rPr>
              <w:t>1.06</w:t>
            </w:r>
          </w:p>
        </w:tc>
        <w:tc>
          <w:tcPr>
            <w:tcW w:w="740" w:type="dxa"/>
            <w:vAlign w:val="bottom"/>
          </w:tcPr>
          <w:p w14:paraId="111AAC8C" w14:textId="68E26FE6" w:rsidR="006F1AAA" w:rsidRPr="002E444B" w:rsidRDefault="006F1AAA" w:rsidP="006F1AAA">
            <w:pPr>
              <w:jc w:val="center"/>
            </w:pPr>
            <w:r>
              <w:rPr>
                <w:rFonts w:ascii="Calibri" w:hAnsi="Calibri" w:cs="Calibri"/>
                <w:color w:val="000000"/>
              </w:rPr>
              <w:t>160</w:t>
            </w:r>
          </w:p>
        </w:tc>
        <w:tc>
          <w:tcPr>
            <w:tcW w:w="700" w:type="dxa"/>
            <w:vAlign w:val="bottom"/>
          </w:tcPr>
          <w:p w14:paraId="4578A0D0" w14:textId="1339B1A9" w:rsidR="006F1AAA" w:rsidRDefault="006F1AAA" w:rsidP="006F1AAA">
            <w:pPr>
              <w:jc w:val="center"/>
              <w:rPr>
                <w:rFonts w:ascii="Calibri" w:hAnsi="Calibri" w:cs="Calibri"/>
                <w:color w:val="000000"/>
              </w:rPr>
            </w:pPr>
            <w:r>
              <w:rPr>
                <w:rFonts w:ascii="Calibri" w:hAnsi="Calibri" w:cs="Calibri"/>
                <w:color w:val="000000"/>
              </w:rPr>
              <w:t>1.03</w:t>
            </w:r>
          </w:p>
        </w:tc>
      </w:tr>
      <w:tr w:rsidR="006F1AAA" w14:paraId="6AFA7000" w14:textId="56535E85" w:rsidTr="003C7164">
        <w:tc>
          <w:tcPr>
            <w:tcW w:w="1134" w:type="dxa"/>
          </w:tcPr>
          <w:p w14:paraId="68A3FC16" w14:textId="77777777" w:rsidR="006F1AAA" w:rsidRDefault="006F1AAA" w:rsidP="006F1AAA">
            <w:r>
              <w:t>FY 2017</w:t>
            </w:r>
          </w:p>
        </w:tc>
        <w:tc>
          <w:tcPr>
            <w:tcW w:w="725" w:type="dxa"/>
            <w:vAlign w:val="bottom"/>
          </w:tcPr>
          <w:p w14:paraId="760ABCC5" w14:textId="322960F5" w:rsidR="006F1AAA" w:rsidRDefault="006F1AAA" w:rsidP="006F1AAA">
            <w:pPr>
              <w:jc w:val="center"/>
            </w:pPr>
            <w:r>
              <w:rPr>
                <w:rFonts w:ascii="Calibri" w:hAnsi="Calibri" w:cs="Calibri"/>
                <w:color w:val="000000"/>
              </w:rPr>
              <w:t>1.09</w:t>
            </w:r>
          </w:p>
        </w:tc>
        <w:tc>
          <w:tcPr>
            <w:tcW w:w="726" w:type="dxa"/>
            <w:vAlign w:val="bottom"/>
          </w:tcPr>
          <w:p w14:paraId="14F8B72C" w14:textId="66D3B5AA" w:rsidR="006F1AAA" w:rsidRDefault="006F1AAA" w:rsidP="006F1AAA">
            <w:pPr>
              <w:jc w:val="center"/>
            </w:pPr>
            <w:r>
              <w:rPr>
                <w:rFonts w:ascii="Calibri" w:hAnsi="Calibri" w:cs="Calibri"/>
                <w:color w:val="000000"/>
              </w:rPr>
              <w:t>1.06</w:t>
            </w:r>
          </w:p>
        </w:tc>
        <w:tc>
          <w:tcPr>
            <w:tcW w:w="727" w:type="dxa"/>
            <w:vAlign w:val="bottom"/>
          </w:tcPr>
          <w:p w14:paraId="2497D227" w14:textId="3DE5701D" w:rsidR="006F1AAA" w:rsidRDefault="006F1AAA" w:rsidP="006F1AAA">
            <w:pPr>
              <w:jc w:val="center"/>
            </w:pPr>
            <w:r>
              <w:rPr>
                <w:rFonts w:ascii="Calibri" w:hAnsi="Calibri" w:cs="Calibri"/>
                <w:color w:val="000000"/>
              </w:rPr>
              <w:t>1.07</w:t>
            </w:r>
          </w:p>
        </w:tc>
        <w:tc>
          <w:tcPr>
            <w:tcW w:w="757" w:type="dxa"/>
            <w:vAlign w:val="bottom"/>
          </w:tcPr>
          <w:p w14:paraId="6F65DA5D" w14:textId="260AE5D3" w:rsidR="006F1AAA" w:rsidRDefault="006F1AAA" w:rsidP="006F1AAA">
            <w:pPr>
              <w:jc w:val="center"/>
            </w:pPr>
            <w:r>
              <w:rPr>
                <w:rFonts w:ascii="Calibri" w:hAnsi="Calibri" w:cs="Calibri"/>
                <w:color w:val="000000"/>
              </w:rPr>
              <w:t>1.17</w:t>
            </w:r>
          </w:p>
        </w:tc>
        <w:tc>
          <w:tcPr>
            <w:tcW w:w="757" w:type="dxa"/>
            <w:vAlign w:val="bottom"/>
          </w:tcPr>
          <w:p w14:paraId="31770478" w14:textId="0B1F889A" w:rsidR="006F1AAA" w:rsidRDefault="006F1AAA" w:rsidP="006F1AAA">
            <w:pPr>
              <w:jc w:val="center"/>
            </w:pPr>
            <w:r>
              <w:rPr>
                <w:rFonts w:ascii="Calibri" w:hAnsi="Calibri" w:cs="Calibri"/>
                <w:color w:val="000000"/>
              </w:rPr>
              <w:t>1.10</w:t>
            </w:r>
          </w:p>
        </w:tc>
        <w:tc>
          <w:tcPr>
            <w:tcW w:w="726" w:type="dxa"/>
            <w:vAlign w:val="bottom"/>
          </w:tcPr>
          <w:p w14:paraId="3DF32B9D" w14:textId="53C83138" w:rsidR="006F1AAA" w:rsidRDefault="006F1AAA" w:rsidP="006F1AAA">
            <w:pPr>
              <w:jc w:val="center"/>
            </w:pPr>
            <w:r>
              <w:rPr>
                <w:rFonts w:ascii="Calibri" w:hAnsi="Calibri" w:cs="Calibri"/>
                <w:color w:val="000000"/>
              </w:rPr>
              <w:t>0.99</w:t>
            </w:r>
          </w:p>
        </w:tc>
        <w:tc>
          <w:tcPr>
            <w:tcW w:w="727" w:type="dxa"/>
            <w:vAlign w:val="bottom"/>
          </w:tcPr>
          <w:p w14:paraId="34DCEC78" w14:textId="421510CD" w:rsidR="006F1AAA" w:rsidRDefault="006F1AAA" w:rsidP="006F1AAA">
            <w:pPr>
              <w:jc w:val="center"/>
            </w:pPr>
            <w:r>
              <w:rPr>
                <w:rFonts w:ascii="Calibri" w:hAnsi="Calibri" w:cs="Calibri"/>
                <w:color w:val="000000"/>
              </w:rPr>
              <w:t>1.02</w:t>
            </w:r>
          </w:p>
        </w:tc>
        <w:tc>
          <w:tcPr>
            <w:tcW w:w="727" w:type="dxa"/>
            <w:vAlign w:val="bottom"/>
          </w:tcPr>
          <w:p w14:paraId="1A68878B" w14:textId="3D32720C" w:rsidR="006F1AAA" w:rsidRDefault="006F1AAA" w:rsidP="006F1AAA">
            <w:pPr>
              <w:jc w:val="center"/>
            </w:pPr>
            <w:r>
              <w:rPr>
                <w:rFonts w:ascii="Calibri" w:hAnsi="Calibri" w:cs="Calibri"/>
                <w:color w:val="000000"/>
              </w:rPr>
              <w:t>1.02</w:t>
            </w:r>
          </w:p>
        </w:tc>
        <w:tc>
          <w:tcPr>
            <w:tcW w:w="753" w:type="dxa"/>
            <w:vAlign w:val="bottom"/>
          </w:tcPr>
          <w:p w14:paraId="3724B211" w14:textId="746BAAB9" w:rsidR="006F1AAA" w:rsidRDefault="006F1AAA" w:rsidP="006F1AAA">
            <w:pPr>
              <w:jc w:val="center"/>
            </w:pPr>
            <w:r>
              <w:rPr>
                <w:rFonts w:ascii="Calibri" w:hAnsi="Calibri" w:cs="Calibri"/>
                <w:color w:val="000000"/>
              </w:rPr>
              <w:t>1.07</w:t>
            </w:r>
          </w:p>
        </w:tc>
        <w:tc>
          <w:tcPr>
            <w:tcW w:w="740" w:type="dxa"/>
            <w:vAlign w:val="bottom"/>
          </w:tcPr>
          <w:p w14:paraId="15D01676" w14:textId="58F47E04" w:rsidR="006F1AAA" w:rsidRPr="00293413" w:rsidRDefault="006F1AAA" w:rsidP="006F1AAA">
            <w:pPr>
              <w:jc w:val="center"/>
            </w:pPr>
            <w:r>
              <w:rPr>
                <w:rFonts w:ascii="Calibri" w:hAnsi="Calibri" w:cs="Calibri"/>
                <w:color w:val="000000"/>
              </w:rPr>
              <w:t>101</w:t>
            </w:r>
          </w:p>
        </w:tc>
        <w:tc>
          <w:tcPr>
            <w:tcW w:w="700" w:type="dxa"/>
            <w:vAlign w:val="bottom"/>
          </w:tcPr>
          <w:p w14:paraId="575DE829" w14:textId="276167CE" w:rsidR="006F1AAA" w:rsidRDefault="006F1AAA" w:rsidP="006F1AAA">
            <w:pPr>
              <w:jc w:val="center"/>
              <w:rPr>
                <w:rFonts w:ascii="Calibri" w:hAnsi="Calibri" w:cs="Calibri"/>
                <w:color w:val="000000"/>
              </w:rPr>
            </w:pPr>
            <w:r>
              <w:rPr>
                <w:rFonts w:ascii="Calibri" w:hAnsi="Calibri" w:cs="Calibri"/>
                <w:color w:val="000000"/>
              </w:rPr>
              <w:t>1.01</w:t>
            </w:r>
          </w:p>
        </w:tc>
      </w:tr>
      <w:tr w:rsidR="006F1AAA" w14:paraId="78433D6D" w14:textId="1031122A" w:rsidTr="003C7164">
        <w:tc>
          <w:tcPr>
            <w:tcW w:w="1134" w:type="dxa"/>
          </w:tcPr>
          <w:p w14:paraId="24A7A69D" w14:textId="77777777" w:rsidR="006F1AAA" w:rsidRDefault="006F1AAA" w:rsidP="006F1AAA">
            <w:r>
              <w:t>FY 2018</w:t>
            </w:r>
          </w:p>
        </w:tc>
        <w:tc>
          <w:tcPr>
            <w:tcW w:w="725" w:type="dxa"/>
            <w:vAlign w:val="bottom"/>
          </w:tcPr>
          <w:p w14:paraId="4EAF9D31" w14:textId="3DF56DA6" w:rsidR="006F1AAA" w:rsidRDefault="006F1AAA" w:rsidP="006F1AAA">
            <w:pPr>
              <w:jc w:val="center"/>
            </w:pPr>
            <w:r>
              <w:rPr>
                <w:rFonts w:ascii="Calibri" w:hAnsi="Calibri" w:cs="Calibri"/>
                <w:color w:val="000000"/>
              </w:rPr>
              <w:t>1.08</w:t>
            </w:r>
          </w:p>
        </w:tc>
        <w:tc>
          <w:tcPr>
            <w:tcW w:w="726" w:type="dxa"/>
            <w:vAlign w:val="bottom"/>
          </w:tcPr>
          <w:p w14:paraId="422E3791" w14:textId="3CC21647" w:rsidR="006F1AAA" w:rsidRDefault="006F1AAA" w:rsidP="006F1AAA">
            <w:pPr>
              <w:jc w:val="center"/>
            </w:pPr>
            <w:r>
              <w:rPr>
                <w:rFonts w:ascii="Calibri" w:hAnsi="Calibri" w:cs="Calibri"/>
                <w:color w:val="000000"/>
              </w:rPr>
              <w:t>1.02</w:t>
            </w:r>
          </w:p>
        </w:tc>
        <w:tc>
          <w:tcPr>
            <w:tcW w:w="727" w:type="dxa"/>
            <w:vAlign w:val="bottom"/>
          </w:tcPr>
          <w:p w14:paraId="02169C8E" w14:textId="54F44905" w:rsidR="006F1AAA" w:rsidRDefault="006F1AAA" w:rsidP="006F1AAA">
            <w:pPr>
              <w:jc w:val="center"/>
            </w:pPr>
            <w:r>
              <w:rPr>
                <w:rFonts w:ascii="Calibri" w:hAnsi="Calibri" w:cs="Calibri"/>
                <w:color w:val="000000"/>
              </w:rPr>
              <w:t>1.11</w:t>
            </w:r>
          </w:p>
        </w:tc>
        <w:tc>
          <w:tcPr>
            <w:tcW w:w="757" w:type="dxa"/>
            <w:vAlign w:val="bottom"/>
          </w:tcPr>
          <w:p w14:paraId="3880B620" w14:textId="776AF11E" w:rsidR="006F1AAA" w:rsidRDefault="006F1AAA" w:rsidP="006F1AAA">
            <w:pPr>
              <w:jc w:val="center"/>
            </w:pPr>
            <w:r>
              <w:rPr>
                <w:rFonts w:ascii="Calibri" w:hAnsi="Calibri" w:cs="Calibri"/>
                <w:color w:val="000000"/>
              </w:rPr>
              <w:t>1.23</w:t>
            </w:r>
          </w:p>
        </w:tc>
        <w:tc>
          <w:tcPr>
            <w:tcW w:w="757" w:type="dxa"/>
            <w:vAlign w:val="bottom"/>
          </w:tcPr>
          <w:p w14:paraId="3CD7A87E" w14:textId="0B25017F" w:rsidR="006F1AAA" w:rsidRDefault="006F1AAA" w:rsidP="006F1AAA">
            <w:pPr>
              <w:jc w:val="center"/>
            </w:pPr>
            <w:r>
              <w:rPr>
                <w:rFonts w:ascii="Calibri" w:hAnsi="Calibri" w:cs="Calibri"/>
                <w:color w:val="000000"/>
              </w:rPr>
              <w:t>1.10</w:t>
            </w:r>
          </w:p>
        </w:tc>
        <w:tc>
          <w:tcPr>
            <w:tcW w:w="726" w:type="dxa"/>
            <w:vAlign w:val="bottom"/>
          </w:tcPr>
          <w:p w14:paraId="3867C377" w14:textId="7A130968" w:rsidR="006F1AAA" w:rsidRDefault="006F1AAA" w:rsidP="006F1AAA">
            <w:pPr>
              <w:jc w:val="center"/>
            </w:pPr>
            <w:r>
              <w:rPr>
                <w:rFonts w:ascii="Calibri" w:hAnsi="Calibri" w:cs="Calibri"/>
                <w:color w:val="000000"/>
              </w:rPr>
              <w:t>1.00</w:t>
            </w:r>
          </w:p>
        </w:tc>
        <w:tc>
          <w:tcPr>
            <w:tcW w:w="727" w:type="dxa"/>
            <w:vAlign w:val="bottom"/>
          </w:tcPr>
          <w:p w14:paraId="7FC26FF6" w14:textId="4D728816" w:rsidR="006F1AAA" w:rsidRDefault="006F1AAA" w:rsidP="006F1AAA">
            <w:pPr>
              <w:jc w:val="center"/>
            </w:pPr>
            <w:r>
              <w:rPr>
                <w:rFonts w:ascii="Calibri" w:hAnsi="Calibri" w:cs="Calibri"/>
                <w:color w:val="000000"/>
              </w:rPr>
              <w:t>1.02</w:t>
            </w:r>
          </w:p>
        </w:tc>
        <w:tc>
          <w:tcPr>
            <w:tcW w:w="727" w:type="dxa"/>
            <w:vAlign w:val="bottom"/>
          </w:tcPr>
          <w:p w14:paraId="614E385C" w14:textId="2DE7F301" w:rsidR="006F1AAA" w:rsidRDefault="006F1AAA" w:rsidP="006F1AAA">
            <w:pPr>
              <w:jc w:val="center"/>
            </w:pPr>
            <w:r>
              <w:rPr>
                <w:rFonts w:ascii="Calibri" w:hAnsi="Calibri" w:cs="Calibri"/>
                <w:color w:val="000000"/>
              </w:rPr>
              <w:t>1.15</w:t>
            </w:r>
          </w:p>
        </w:tc>
        <w:tc>
          <w:tcPr>
            <w:tcW w:w="753" w:type="dxa"/>
            <w:vAlign w:val="bottom"/>
          </w:tcPr>
          <w:p w14:paraId="10D51557" w14:textId="729D4FB5" w:rsidR="006F1AAA" w:rsidRDefault="006F1AAA" w:rsidP="006F1AAA">
            <w:pPr>
              <w:jc w:val="center"/>
            </w:pPr>
            <w:r>
              <w:rPr>
                <w:rFonts w:ascii="Calibri" w:hAnsi="Calibri" w:cs="Calibri"/>
                <w:color w:val="000000"/>
              </w:rPr>
              <w:t>1.08</w:t>
            </w:r>
          </w:p>
        </w:tc>
        <w:tc>
          <w:tcPr>
            <w:tcW w:w="740" w:type="dxa"/>
            <w:vAlign w:val="bottom"/>
          </w:tcPr>
          <w:p w14:paraId="59A05E01" w14:textId="4B4E69CB" w:rsidR="006F1AAA" w:rsidRPr="00293413" w:rsidRDefault="006F1AAA" w:rsidP="006F1AAA">
            <w:pPr>
              <w:jc w:val="center"/>
            </w:pPr>
            <w:r>
              <w:rPr>
                <w:rFonts w:ascii="Calibri" w:hAnsi="Calibri" w:cs="Calibri"/>
                <w:color w:val="000000"/>
              </w:rPr>
              <w:t>181</w:t>
            </w:r>
          </w:p>
        </w:tc>
        <w:tc>
          <w:tcPr>
            <w:tcW w:w="700" w:type="dxa"/>
            <w:vAlign w:val="bottom"/>
          </w:tcPr>
          <w:p w14:paraId="459287D6" w14:textId="5ED80148" w:rsidR="006F1AAA" w:rsidRDefault="006F1AAA" w:rsidP="006F1AAA">
            <w:pPr>
              <w:jc w:val="center"/>
              <w:rPr>
                <w:rFonts w:ascii="Calibri" w:hAnsi="Calibri" w:cs="Calibri"/>
                <w:color w:val="000000"/>
              </w:rPr>
            </w:pPr>
            <w:r>
              <w:rPr>
                <w:rFonts w:ascii="Calibri" w:hAnsi="Calibri" w:cs="Calibri"/>
                <w:color w:val="000000"/>
              </w:rPr>
              <w:t>1.01</w:t>
            </w:r>
          </w:p>
        </w:tc>
      </w:tr>
      <w:tr w:rsidR="006F1AAA" w14:paraId="1BF45E87" w14:textId="083D04D8" w:rsidTr="003C7164">
        <w:tc>
          <w:tcPr>
            <w:tcW w:w="1134" w:type="dxa"/>
          </w:tcPr>
          <w:p w14:paraId="46988279" w14:textId="77777777" w:rsidR="006F1AAA" w:rsidRDefault="006F1AAA" w:rsidP="006F1AAA">
            <w:r>
              <w:t>FY 2019</w:t>
            </w:r>
          </w:p>
        </w:tc>
        <w:tc>
          <w:tcPr>
            <w:tcW w:w="725" w:type="dxa"/>
            <w:vAlign w:val="bottom"/>
          </w:tcPr>
          <w:p w14:paraId="63D229CE" w14:textId="7DCD82FD" w:rsidR="006F1AAA" w:rsidRDefault="006F1AAA" w:rsidP="006F1AAA">
            <w:pPr>
              <w:jc w:val="center"/>
            </w:pPr>
            <w:r>
              <w:rPr>
                <w:rFonts w:ascii="Calibri" w:hAnsi="Calibri" w:cs="Calibri"/>
                <w:color w:val="000000"/>
              </w:rPr>
              <w:t>1.11</w:t>
            </w:r>
          </w:p>
        </w:tc>
        <w:tc>
          <w:tcPr>
            <w:tcW w:w="726" w:type="dxa"/>
            <w:vAlign w:val="bottom"/>
          </w:tcPr>
          <w:p w14:paraId="109AB97A" w14:textId="075C6CF9" w:rsidR="006F1AAA" w:rsidRDefault="006F1AAA" w:rsidP="006F1AAA">
            <w:pPr>
              <w:jc w:val="center"/>
            </w:pPr>
            <w:r>
              <w:rPr>
                <w:rFonts w:ascii="Calibri" w:hAnsi="Calibri" w:cs="Calibri"/>
                <w:color w:val="000000"/>
              </w:rPr>
              <w:t>1.04</w:t>
            </w:r>
          </w:p>
        </w:tc>
        <w:tc>
          <w:tcPr>
            <w:tcW w:w="727" w:type="dxa"/>
            <w:vAlign w:val="bottom"/>
          </w:tcPr>
          <w:p w14:paraId="1ACA378B" w14:textId="02EC050A" w:rsidR="006F1AAA" w:rsidRDefault="006F1AAA" w:rsidP="006F1AAA">
            <w:pPr>
              <w:jc w:val="center"/>
            </w:pPr>
            <w:r>
              <w:rPr>
                <w:rFonts w:ascii="Calibri" w:hAnsi="Calibri" w:cs="Calibri"/>
                <w:color w:val="000000"/>
              </w:rPr>
              <w:t>1.15</w:t>
            </w:r>
          </w:p>
        </w:tc>
        <w:tc>
          <w:tcPr>
            <w:tcW w:w="757" w:type="dxa"/>
            <w:vAlign w:val="bottom"/>
          </w:tcPr>
          <w:p w14:paraId="5AC18824" w14:textId="338A0529" w:rsidR="006F1AAA" w:rsidRDefault="006F1AAA" w:rsidP="006F1AAA">
            <w:pPr>
              <w:jc w:val="center"/>
            </w:pPr>
            <w:r>
              <w:rPr>
                <w:rFonts w:ascii="Calibri" w:hAnsi="Calibri" w:cs="Calibri"/>
                <w:color w:val="000000"/>
              </w:rPr>
              <w:t>1.25</w:t>
            </w:r>
          </w:p>
        </w:tc>
        <w:tc>
          <w:tcPr>
            <w:tcW w:w="757" w:type="dxa"/>
            <w:vAlign w:val="bottom"/>
          </w:tcPr>
          <w:p w14:paraId="4D90B334" w14:textId="50F4B609" w:rsidR="006F1AAA" w:rsidRDefault="006F1AAA" w:rsidP="006F1AAA">
            <w:pPr>
              <w:jc w:val="center"/>
            </w:pPr>
            <w:r>
              <w:rPr>
                <w:rFonts w:ascii="Calibri" w:hAnsi="Calibri" w:cs="Calibri"/>
                <w:color w:val="000000"/>
              </w:rPr>
              <w:t>1.12</w:t>
            </w:r>
          </w:p>
        </w:tc>
        <w:tc>
          <w:tcPr>
            <w:tcW w:w="726" w:type="dxa"/>
            <w:vAlign w:val="bottom"/>
          </w:tcPr>
          <w:p w14:paraId="4337C1D5" w14:textId="56F85454" w:rsidR="006F1AAA" w:rsidRDefault="006F1AAA" w:rsidP="006F1AAA">
            <w:pPr>
              <w:jc w:val="center"/>
            </w:pPr>
            <w:r>
              <w:rPr>
                <w:rFonts w:ascii="Calibri" w:hAnsi="Calibri" w:cs="Calibri"/>
                <w:color w:val="000000"/>
              </w:rPr>
              <w:t>1.01</w:t>
            </w:r>
          </w:p>
        </w:tc>
        <w:tc>
          <w:tcPr>
            <w:tcW w:w="727" w:type="dxa"/>
            <w:vAlign w:val="bottom"/>
          </w:tcPr>
          <w:p w14:paraId="4D13F074" w14:textId="0FC80B49" w:rsidR="006F1AAA" w:rsidRDefault="006F1AAA" w:rsidP="006F1AAA">
            <w:pPr>
              <w:jc w:val="center"/>
            </w:pPr>
            <w:r>
              <w:rPr>
                <w:rFonts w:ascii="Calibri" w:hAnsi="Calibri" w:cs="Calibri"/>
                <w:color w:val="000000"/>
              </w:rPr>
              <w:t>0.98</w:t>
            </w:r>
          </w:p>
        </w:tc>
        <w:tc>
          <w:tcPr>
            <w:tcW w:w="727" w:type="dxa"/>
            <w:vAlign w:val="bottom"/>
          </w:tcPr>
          <w:p w14:paraId="10FC7772" w14:textId="0865B129" w:rsidR="006F1AAA" w:rsidRDefault="006F1AAA" w:rsidP="006F1AAA">
            <w:pPr>
              <w:jc w:val="center"/>
            </w:pPr>
            <w:r>
              <w:rPr>
                <w:rFonts w:ascii="Calibri" w:hAnsi="Calibri" w:cs="Calibri"/>
                <w:color w:val="000000"/>
              </w:rPr>
              <w:t>1.14</w:t>
            </w:r>
          </w:p>
        </w:tc>
        <w:tc>
          <w:tcPr>
            <w:tcW w:w="753" w:type="dxa"/>
            <w:vAlign w:val="bottom"/>
          </w:tcPr>
          <w:p w14:paraId="407F1A12" w14:textId="7834F76C" w:rsidR="006F1AAA" w:rsidRDefault="006F1AAA" w:rsidP="006F1AAA">
            <w:pPr>
              <w:jc w:val="center"/>
            </w:pPr>
            <w:r>
              <w:rPr>
                <w:rFonts w:ascii="Calibri" w:hAnsi="Calibri" w:cs="Calibri"/>
                <w:color w:val="000000"/>
              </w:rPr>
              <w:t>1.11</w:t>
            </w:r>
          </w:p>
        </w:tc>
        <w:tc>
          <w:tcPr>
            <w:tcW w:w="740" w:type="dxa"/>
            <w:vAlign w:val="bottom"/>
          </w:tcPr>
          <w:p w14:paraId="6717ED38" w14:textId="42D83B06" w:rsidR="006F1AAA" w:rsidRPr="00293413" w:rsidRDefault="006F1AAA" w:rsidP="006F1AAA">
            <w:pPr>
              <w:jc w:val="center"/>
            </w:pPr>
            <w:r>
              <w:rPr>
                <w:rFonts w:ascii="Calibri" w:hAnsi="Calibri" w:cs="Calibri"/>
                <w:color w:val="000000"/>
              </w:rPr>
              <w:t>160</w:t>
            </w:r>
          </w:p>
        </w:tc>
        <w:tc>
          <w:tcPr>
            <w:tcW w:w="700" w:type="dxa"/>
            <w:vAlign w:val="bottom"/>
          </w:tcPr>
          <w:p w14:paraId="27EF7BC2" w14:textId="1FB610E2" w:rsidR="006F1AAA" w:rsidRDefault="006F1AAA" w:rsidP="006F1AAA">
            <w:pPr>
              <w:jc w:val="center"/>
              <w:rPr>
                <w:rFonts w:ascii="Calibri" w:hAnsi="Calibri" w:cs="Calibri"/>
                <w:color w:val="000000"/>
              </w:rPr>
            </w:pPr>
            <w:r>
              <w:rPr>
                <w:rFonts w:ascii="Calibri" w:hAnsi="Calibri" w:cs="Calibri"/>
                <w:color w:val="000000"/>
              </w:rPr>
              <w:t>1.05</w:t>
            </w:r>
          </w:p>
        </w:tc>
      </w:tr>
      <w:tr w:rsidR="006F1AAA" w14:paraId="72031050" w14:textId="3C6B4DC0" w:rsidTr="003C7164">
        <w:tc>
          <w:tcPr>
            <w:tcW w:w="1134" w:type="dxa"/>
          </w:tcPr>
          <w:p w14:paraId="5DEC50BD" w14:textId="10E0F2C5" w:rsidR="006F1AAA" w:rsidRDefault="006F1AAA" w:rsidP="006F1AAA">
            <w:r>
              <w:t>FY 2020</w:t>
            </w:r>
          </w:p>
        </w:tc>
        <w:tc>
          <w:tcPr>
            <w:tcW w:w="725" w:type="dxa"/>
            <w:vAlign w:val="bottom"/>
          </w:tcPr>
          <w:p w14:paraId="4DE244E4" w14:textId="2304D8E8" w:rsidR="006F1AAA" w:rsidRPr="00293413" w:rsidRDefault="006F1AAA" w:rsidP="006F1AAA">
            <w:pPr>
              <w:jc w:val="center"/>
            </w:pPr>
            <w:r>
              <w:rPr>
                <w:rFonts w:ascii="Calibri" w:hAnsi="Calibri" w:cs="Calibri"/>
                <w:color w:val="000000"/>
              </w:rPr>
              <w:t>1.06</w:t>
            </w:r>
          </w:p>
        </w:tc>
        <w:tc>
          <w:tcPr>
            <w:tcW w:w="726" w:type="dxa"/>
            <w:vAlign w:val="bottom"/>
          </w:tcPr>
          <w:p w14:paraId="7C79BDAF" w14:textId="0C01FAB3" w:rsidR="006F1AAA" w:rsidRPr="00293413" w:rsidRDefault="006F1AAA" w:rsidP="006F1AAA">
            <w:pPr>
              <w:jc w:val="center"/>
            </w:pPr>
            <w:r>
              <w:rPr>
                <w:rFonts w:ascii="Calibri" w:hAnsi="Calibri" w:cs="Calibri"/>
                <w:color w:val="000000"/>
              </w:rPr>
              <w:t>0.99</w:t>
            </w:r>
          </w:p>
        </w:tc>
        <w:tc>
          <w:tcPr>
            <w:tcW w:w="727" w:type="dxa"/>
            <w:vAlign w:val="bottom"/>
          </w:tcPr>
          <w:p w14:paraId="656EE120" w14:textId="42FB6444" w:rsidR="006F1AAA" w:rsidRPr="00293413" w:rsidRDefault="006F1AAA" w:rsidP="006F1AAA">
            <w:pPr>
              <w:jc w:val="center"/>
            </w:pPr>
            <w:r>
              <w:rPr>
                <w:rFonts w:ascii="Calibri" w:hAnsi="Calibri" w:cs="Calibri"/>
                <w:color w:val="000000"/>
              </w:rPr>
              <w:t>1.09</w:t>
            </w:r>
          </w:p>
        </w:tc>
        <w:tc>
          <w:tcPr>
            <w:tcW w:w="757" w:type="dxa"/>
            <w:vAlign w:val="bottom"/>
          </w:tcPr>
          <w:p w14:paraId="69BF80E2" w14:textId="41426A3B" w:rsidR="006F1AAA" w:rsidRPr="00293413" w:rsidRDefault="006F1AAA" w:rsidP="006F1AAA">
            <w:pPr>
              <w:jc w:val="center"/>
            </w:pPr>
            <w:r>
              <w:rPr>
                <w:rFonts w:ascii="Calibri" w:hAnsi="Calibri" w:cs="Calibri"/>
                <w:color w:val="000000"/>
              </w:rPr>
              <w:t>1.22</w:t>
            </w:r>
          </w:p>
        </w:tc>
        <w:tc>
          <w:tcPr>
            <w:tcW w:w="757" w:type="dxa"/>
            <w:vAlign w:val="bottom"/>
          </w:tcPr>
          <w:p w14:paraId="72C04C65" w14:textId="2BF237FF" w:rsidR="006F1AAA" w:rsidRPr="00293413" w:rsidRDefault="006F1AAA" w:rsidP="006F1AAA">
            <w:pPr>
              <w:jc w:val="center"/>
            </w:pPr>
            <w:r>
              <w:rPr>
                <w:rFonts w:ascii="Calibri" w:hAnsi="Calibri" w:cs="Calibri"/>
                <w:color w:val="000000"/>
              </w:rPr>
              <w:t>1.10</w:t>
            </w:r>
          </w:p>
        </w:tc>
        <w:tc>
          <w:tcPr>
            <w:tcW w:w="726" w:type="dxa"/>
            <w:vAlign w:val="bottom"/>
          </w:tcPr>
          <w:p w14:paraId="563FA6EA" w14:textId="065AEDF5" w:rsidR="006F1AAA" w:rsidRPr="00293413" w:rsidRDefault="006F1AAA" w:rsidP="006F1AAA">
            <w:pPr>
              <w:jc w:val="center"/>
            </w:pPr>
            <w:r>
              <w:rPr>
                <w:rFonts w:ascii="Calibri" w:hAnsi="Calibri" w:cs="Calibri"/>
                <w:color w:val="000000"/>
              </w:rPr>
              <w:t>1.01</w:t>
            </w:r>
          </w:p>
        </w:tc>
        <w:tc>
          <w:tcPr>
            <w:tcW w:w="727" w:type="dxa"/>
            <w:vAlign w:val="bottom"/>
          </w:tcPr>
          <w:p w14:paraId="62F35252" w14:textId="69678BF2" w:rsidR="006F1AAA" w:rsidRPr="00293413" w:rsidRDefault="006F1AAA" w:rsidP="006F1AAA">
            <w:pPr>
              <w:jc w:val="center"/>
            </w:pPr>
            <w:r>
              <w:rPr>
                <w:rFonts w:ascii="Calibri" w:hAnsi="Calibri" w:cs="Calibri"/>
                <w:color w:val="000000"/>
              </w:rPr>
              <w:t>0.99</w:t>
            </w:r>
          </w:p>
        </w:tc>
        <w:tc>
          <w:tcPr>
            <w:tcW w:w="727" w:type="dxa"/>
            <w:vAlign w:val="bottom"/>
          </w:tcPr>
          <w:p w14:paraId="2BAA0289" w14:textId="4470A8BE" w:rsidR="006F1AAA" w:rsidRPr="00293413" w:rsidRDefault="006F1AAA" w:rsidP="006F1AAA">
            <w:pPr>
              <w:jc w:val="center"/>
            </w:pPr>
            <w:r>
              <w:rPr>
                <w:rFonts w:ascii="Calibri" w:hAnsi="Calibri" w:cs="Calibri"/>
                <w:color w:val="000000"/>
              </w:rPr>
              <w:t>1.15</w:t>
            </w:r>
          </w:p>
        </w:tc>
        <w:tc>
          <w:tcPr>
            <w:tcW w:w="753" w:type="dxa"/>
            <w:vAlign w:val="bottom"/>
          </w:tcPr>
          <w:p w14:paraId="34300714" w14:textId="31065518" w:rsidR="006F1AAA" w:rsidRPr="00293413" w:rsidRDefault="006F1AAA" w:rsidP="006F1AAA">
            <w:pPr>
              <w:jc w:val="center"/>
            </w:pPr>
            <w:r>
              <w:rPr>
                <w:rFonts w:ascii="Calibri" w:hAnsi="Calibri" w:cs="Calibri"/>
                <w:color w:val="000000"/>
              </w:rPr>
              <w:t>1.08</w:t>
            </w:r>
          </w:p>
        </w:tc>
        <w:tc>
          <w:tcPr>
            <w:tcW w:w="740" w:type="dxa"/>
            <w:vAlign w:val="bottom"/>
          </w:tcPr>
          <w:p w14:paraId="318C64C8" w14:textId="7C5D3276" w:rsidR="006F1AAA" w:rsidRDefault="006F1AAA" w:rsidP="006F1AAA">
            <w:pPr>
              <w:jc w:val="center"/>
            </w:pPr>
            <w:r>
              <w:rPr>
                <w:rFonts w:ascii="Calibri" w:hAnsi="Calibri" w:cs="Calibri"/>
                <w:color w:val="000000"/>
              </w:rPr>
              <w:t>164</w:t>
            </w:r>
          </w:p>
        </w:tc>
        <w:tc>
          <w:tcPr>
            <w:tcW w:w="700" w:type="dxa"/>
            <w:vAlign w:val="bottom"/>
          </w:tcPr>
          <w:p w14:paraId="7B929D15" w14:textId="26B26CE5" w:rsidR="006F1AAA" w:rsidRDefault="006F1AAA" w:rsidP="006F1AAA">
            <w:pPr>
              <w:jc w:val="center"/>
              <w:rPr>
                <w:rFonts w:ascii="Calibri" w:hAnsi="Calibri" w:cs="Calibri"/>
                <w:color w:val="000000"/>
              </w:rPr>
            </w:pPr>
            <w:r>
              <w:rPr>
                <w:rFonts w:ascii="Calibri" w:hAnsi="Calibri" w:cs="Calibri"/>
                <w:color w:val="000000"/>
              </w:rPr>
              <w:t>1.02</w:t>
            </w:r>
          </w:p>
        </w:tc>
      </w:tr>
      <w:tr w:rsidR="006F1AAA" w14:paraId="1912DD04" w14:textId="659DBA74" w:rsidTr="003C7164">
        <w:tc>
          <w:tcPr>
            <w:tcW w:w="1134" w:type="dxa"/>
          </w:tcPr>
          <w:p w14:paraId="7BDB5F83" w14:textId="299FC1D3" w:rsidR="006F1AAA" w:rsidRDefault="006F1AAA" w:rsidP="006F1AAA">
            <w:r>
              <w:t>FY 2021</w:t>
            </w:r>
          </w:p>
        </w:tc>
        <w:tc>
          <w:tcPr>
            <w:tcW w:w="725" w:type="dxa"/>
            <w:vAlign w:val="bottom"/>
          </w:tcPr>
          <w:p w14:paraId="29EC223F" w14:textId="5AFB4BEA" w:rsidR="006F1AAA" w:rsidRPr="00293413" w:rsidRDefault="006F1AAA" w:rsidP="006F1AAA">
            <w:pPr>
              <w:jc w:val="center"/>
            </w:pPr>
            <w:r>
              <w:rPr>
                <w:rFonts w:ascii="Calibri" w:hAnsi="Calibri" w:cs="Calibri"/>
                <w:color w:val="000000"/>
              </w:rPr>
              <w:t>1.04</w:t>
            </w:r>
          </w:p>
        </w:tc>
        <w:tc>
          <w:tcPr>
            <w:tcW w:w="726" w:type="dxa"/>
            <w:vAlign w:val="bottom"/>
          </w:tcPr>
          <w:p w14:paraId="62EA95E3" w14:textId="759C33CF" w:rsidR="006F1AAA" w:rsidRPr="00293413" w:rsidRDefault="006F1AAA" w:rsidP="006F1AAA">
            <w:pPr>
              <w:jc w:val="center"/>
            </w:pPr>
            <w:r>
              <w:rPr>
                <w:rFonts w:ascii="Calibri" w:hAnsi="Calibri" w:cs="Calibri"/>
                <w:color w:val="000000"/>
              </w:rPr>
              <w:t>0.99</w:t>
            </w:r>
          </w:p>
        </w:tc>
        <w:tc>
          <w:tcPr>
            <w:tcW w:w="727" w:type="dxa"/>
            <w:vAlign w:val="bottom"/>
          </w:tcPr>
          <w:p w14:paraId="5C851ED9" w14:textId="047C8A4F" w:rsidR="006F1AAA" w:rsidRPr="00293413" w:rsidRDefault="006F1AAA" w:rsidP="006F1AAA">
            <w:pPr>
              <w:jc w:val="center"/>
            </w:pPr>
            <w:r>
              <w:rPr>
                <w:rFonts w:ascii="Calibri" w:hAnsi="Calibri" w:cs="Calibri"/>
                <w:color w:val="000000"/>
              </w:rPr>
              <w:t>1.05</w:t>
            </w:r>
          </w:p>
        </w:tc>
        <w:tc>
          <w:tcPr>
            <w:tcW w:w="757" w:type="dxa"/>
            <w:vAlign w:val="bottom"/>
          </w:tcPr>
          <w:p w14:paraId="79FD4E8F" w14:textId="38D2A0C9" w:rsidR="006F1AAA" w:rsidRPr="00293413" w:rsidRDefault="006F1AAA" w:rsidP="006F1AAA">
            <w:pPr>
              <w:jc w:val="center"/>
            </w:pPr>
            <w:r>
              <w:rPr>
                <w:rFonts w:ascii="Calibri" w:hAnsi="Calibri" w:cs="Calibri"/>
                <w:color w:val="000000"/>
              </w:rPr>
              <w:t>1.20</w:t>
            </w:r>
          </w:p>
        </w:tc>
        <w:tc>
          <w:tcPr>
            <w:tcW w:w="757" w:type="dxa"/>
            <w:vAlign w:val="bottom"/>
          </w:tcPr>
          <w:p w14:paraId="05BBBB17" w14:textId="036F1FAE" w:rsidR="006F1AAA" w:rsidRPr="00293413" w:rsidRDefault="006F1AAA" w:rsidP="006F1AAA">
            <w:pPr>
              <w:jc w:val="center"/>
            </w:pPr>
            <w:r>
              <w:rPr>
                <w:rFonts w:ascii="Calibri" w:hAnsi="Calibri" w:cs="Calibri"/>
                <w:color w:val="000000"/>
              </w:rPr>
              <w:t>1.07</w:t>
            </w:r>
          </w:p>
        </w:tc>
        <w:tc>
          <w:tcPr>
            <w:tcW w:w="726" w:type="dxa"/>
            <w:vAlign w:val="bottom"/>
          </w:tcPr>
          <w:p w14:paraId="0E050DA4" w14:textId="591F15D3" w:rsidR="006F1AAA" w:rsidRPr="00293413" w:rsidRDefault="006F1AAA" w:rsidP="006F1AAA">
            <w:pPr>
              <w:jc w:val="center"/>
            </w:pPr>
            <w:r>
              <w:rPr>
                <w:rFonts w:ascii="Calibri" w:hAnsi="Calibri" w:cs="Calibri"/>
                <w:color w:val="000000"/>
              </w:rPr>
              <w:t>0.96</w:t>
            </w:r>
          </w:p>
        </w:tc>
        <w:tc>
          <w:tcPr>
            <w:tcW w:w="727" w:type="dxa"/>
            <w:vAlign w:val="bottom"/>
          </w:tcPr>
          <w:p w14:paraId="72E90D77" w14:textId="189521A9" w:rsidR="006F1AAA" w:rsidRPr="00293413" w:rsidRDefault="006F1AAA" w:rsidP="006F1AAA">
            <w:pPr>
              <w:jc w:val="center"/>
            </w:pPr>
            <w:r>
              <w:rPr>
                <w:rFonts w:ascii="Calibri" w:hAnsi="Calibri" w:cs="Calibri"/>
                <w:color w:val="000000"/>
              </w:rPr>
              <w:t>0.99</w:t>
            </w:r>
          </w:p>
        </w:tc>
        <w:tc>
          <w:tcPr>
            <w:tcW w:w="727" w:type="dxa"/>
            <w:vAlign w:val="bottom"/>
          </w:tcPr>
          <w:p w14:paraId="71B6739B" w14:textId="2C391A5A" w:rsidR="006F1AAA" w:rsidRPr="00293413" w:rsidRDefault="006F1AAA" w:rsidP="006F1AAA">
            <w:pPr>
              <w:jc w:val="center"/>
            </w:pPr>
            <w:r>
              <w:rPr>
                <w:rFonts w:ascii="Calibri" w:hAnsi="Calibri" w:cs="Calibri"/>
                <w:color w:val="000000"/>
              </w:rPr>
              <w:t>1.17</w:t>
            </w:r>
          </w:p>
        </w:tc>
        <w:tc>
          <w:tcPr>
            <w:tcW w:w="753" w:type="dxa"/>
            <w:vAlign w:val="bottom"/>
          </w:tcPr>
          <w:p w14:paraId="7F7DF85E" w14:textId="25B4ACE3" w:rsidR="006F1AAA" w:rsidRPr="00293413" w:rsidRDefault="006F1AAA" w:rsidP="006F1AAA">
            <w:pPr>
              <w:jc w:val="center"/>
            </w:pPr>
            <w:r>
              <w:rPr>
                <w:rFonts w:ascii="Calibri" w:hAnsi="Calibri" w:cs="Calibri"/>
                <w:color w:val="000000"/>
              </w:rPr>
              <w:t>1.05</w:t>
            </w:r>
          </w:p>
        </w:tc>
        <w:tc>
          <w:tcPr>
            <w:tcW w:w="740" w:type="dxa"/>
            <w:vAlign w:val="bottom"/>
          </w:tcPr>
          <w:p w14:paraId="1EAE201E" w14:textId="1E65DE8B" w:rsidR="006F1AAA" w:rsidRDefault="006F1AAA" w:rsidP="006F1AAA">
            <w:pPr>
              <w:jc w:val="center"/>
            </w:pPr>
            <w:r>
              <w:rPr>
                <w:rFonts w:ascii="Calibri" w:hAnsi="Calibri" w:cs="Calibri"/>
                <w:color w:val="000000"/>
              </w:rPr>
              <w:t>187</w:t>
            </w:r>
          </w:p>
        </w:tc>
        <w:tc>
          <w:tcPr>
            <w:tcW w:w="700" w:type="dxa"/>
            <w:vAlign w:val="bottom"/>
          </w:tcPr>
          <w:p w14:paraId="6F06F0E5" w14:textId="260848E9" w:rsidR="006F1AAA" w:rsidRDefault="006F1AAA" w:rsidP="006F1AAA">
            <w:pPr>
              <w:jc w:val="center"/>
              <w:rPr>
                <w:rFonts w:ascii="Calibri" w:hAnsi="Calibri" w:cs="Calibri"/>
                <w:color w:val="000000"/>
              </w:rPr>
            </w:pPr>
            <w:r>
              <w:rPr>
                <w:rFonts w:ascii="Calibri" w:hAnsi="Calibri" w:cs="Calibri"/>
                <w:color w:val="000000"/>
              </w:rPr>
              <w:t>1.00</w:t>
            </w:r>
          </w:p>
        </w:tc>
      </w:tr>
      <w:tr w:rsidR="006F1AAA" w14:paraId="4D881D3D" w14:textId="5D065811" w:rsidTr="003C7164">
        <w:tc>
          <w:tcPr>
            <w:tcW w:w="1134" w:type="dxa"/>
          </w:tcPr>
          <w:p w14:paraId="08DB2B13" w14:textId="77777777" w:rsidR="006F1AAA" w:rsidRDefault="006F1AAA" w:rsidP="006F1AAA">
            <w:r>
              <w:t>Average</w:t>
            </w:r>
          </w:p>
        </w:tc>
        <w:tc>
          <w:tcPr>
            <w:tcW w:w="725" w:type="dxa"/>
            <w:vAlign w:val="bottom"/>
          </w:tcPr>
          <w:p w14:paraId="5B103D0F" w14:textId="008F3E9C" w:rsidR="006F1AAA" w:rsidRDefault="006F1AAA" w:rsidP="006F1AAA">
            <w:pPr>
              <w:jc w:val="center"/>
              <w:rPr>
                <w:rFonts w:ascii="Calibri" w:hAnsi="Calibri" w:cs="Calibri"/>
                <w:color w:val="000000"/>
              </w:rPr>
            </w:pPr>
            <w:r>
              <w:rPr>
                <w:rFonts w:ascii="Calibri" w:hAnsi="Calibri" w:cs="Calibri"/>
                <w:color w:val="000000"/>
              </w:rPr>
              <w:t>1.08</w:t>
            </w:r>
          </w:p>
        </w:tc>
        <w:tc>
          <w:tcPr>
            <w:tcW w:w="726" w:type="dxa"/>
            <w:vAlign w:val="bottom"/>
          </w:tcPr>
          <w:p w14:paraId="19035B64" w14:textId="4560959B" w:rsidR="006F1AAA" w:rsidRDefault="006F1AAA" w:rsidP="006F1AAA">
            <w:pPr>
              <w:jc w:val="center"/>
              <w:rPr>
                <w:rFonts w:ascii="Calibri" w:hAnsi="Calibri" w:cs="Calibri"/>
                <w:color w:val="000000"/>
              </w:rPr>
            </w:pPr>
            <w:r>
              <w:rPr>
                <w:rFonts w:ascii="Calibri" w:hAnsi="Calibri" w:cs="Calibri"/>
                <w:color w:val="000000"/>
              </w:rPr>
              <w:t>1.03</w:t>
            </w:r>
          </w:p>
        </w:tc>
        <w:tc>
          <w:tcPr>
            <w:tcW w:w="727" w:type="dxa"/>
            <w:vAlign w:val="bottom"/>
          </w:tcPr>
          <w:p w14:paraId="30D5D73B" w14:textId="4641DA40" w:rsidR="006F1AAA" w:rsidRDefault="006F1AAA" w:rsidP="006F1AAA">
            <w:pPr>
              <w:jc w:val="center"/>
              <w:rPr>
                <w:rFonts w:ascii="Calibri" w:hAnsi="Calibri" w:cs="Calibri"/>
                <w:color w:val="000000"/>
              </w:rPr>
            </w:pPr>
            <w:r>
              <w:rPr>
                <w:rFonts w:ascii="Calibri" w:hAnsi="Calibri" w:cs="Calibri"/>
                <w:color w:val="000000"/>
              </w:rPr>
              <w:t>1.07</w:t>
            </w:r>
          </w:p>
        </w:tc>
        <w:tc>
          <w:tcPr>
            <w:tcW w:w="757" w:type="dxa"/>
            <w:vAlign w:val="bottom"/>
          </w:tcPr>
          <w:p w14:paraId="16AECC5A" w14:textId="35783175" w:rsidR="006F1AAA" w:rsidRDefault="006F1AAA" w:rsidP="006F1AAA">
            <w:pPr>
              <w:jc w:val="center"/>
            </w:pPr>
            <w:r>
              <w:rPr>
                <w:rFonts w:ascii="Calibri" w:hAnsi="Calibri" w:cs="Calibri"/>
                <w:color w:val="000000"/>
              </w:rPr>
              <w:t>1.21</w:t>
            </w:r>
          </w:p>
        </w:tc>
        <w:tc>
          <w:tcPr>
            <w:tcW w:w="757" w:type="dxa"/>
            <w:vAlign w:val="bottom"/>
          </w:tcPr>
          <w:p w14:paraId="4AE24AF9" w14:textId="3E74920E" w:rsidR="006F1AAA" w:rsidRDefault="006F1AAA" w:rsidP="006F1AAA">
            <w:pPr>
              <w:jc w:val="center"/>
            </w:pPr>
            <w:r>
              <w:rPr>
                <w:rFonts w:ascii="Calibri" w:hAnsi="Calibri" w:cs="Calibri"/>
                <w:color w:val="000000"/>
              </w:rPr>
              <w:t>1.08</w:t>
            </w:r>
          </w:p>
        </w:tc>
        <w:tc>
          <w:tcPr>
            <w:tcW w:w="726" w:type="dxa"/>
            <w:vAlign w:val="bottom"/>
          </w:tcPr>
          <w:p w14:paraId="666307B9" w14:textId="2DEF2C60" w:rsidR="006F1AAA" w:rsidRDefault="006F1AAA" w:rsidP="006F1AAA">
            <w:pPr>
              <w:jc w:val="center"/>
            </w:pPr>
            <w:r>
              <w:rPr>
                <w:rFonts w:ascii="Calibri" w:hAnsi="Calibri" w:cs="Calibri"/>
                <w:color w:val="000000"/>
              </w:rPr>
              <w:t>1.01</w:t>
            </w:r>
          </w:p>
        </w:tc>
        <w:tc>
          <w:tcPr>
            <w:tcW w:w="727" w:type="dxa"/>
            <w:vAlign w:val="bottom"/>
          </w:tcPr>
          <w:p w14:paraId="002C392D" w14:textId="760FA399" w:rsidR="006F1AAA" w:rsidRDefault="006F1AAA" w:rsidP="006F1AAA">
            <w:pPr>
              <w:jc w:val="center"/>
            </w:pPr>
            <w:r>
              <w:rPr>
                <w:rFonts w:ascii="Calibri" w:hAnsi="Calibri" w:cs="Calibri"/>
                <w:color w:val="000000"/>
              </w:rPr>
              <w:t>1.02</w:t>
            </w:r>
          </w:p>
        </w:tc>
        <w:tc>
          <w:tcPr>
            <w:tcW w:w="727" w:type="dxa"/>
            <w:vAlign w:val="bottom"/>
          </w:tcPr>
          <w:p w14:paraId="3B9A1537" w14:textId="27EFBA2A" w:rsidR="006F1AAA" w:rsidRDefault="006F1AAA" w:rsidP="006F1AAA">
            <w:pPr>
              <w:jc w:val="center"/>
            </w:pPr>
            <w:r>
              <w:rPr>
                <w:rFonts w:ascii="Calibri" w:hAnsi="Calibri" w:cs="Calibri"/>
                <w:color w:val="000000"/>
              </w:rPr>
              <w:t>1.11</w:t>
            </w:r>
          </w:p>
        </w:tc>
        <w:tc>
          <w:tcPr>
            <w:tcW w:w="753" w:type="dxa"/>
            <w:vAlign w:val="bottom"/>
          </w:tcPr>
          <w:p w14:paraId="212CBCB8" w14:textId="6262160B" w:rsidR="006F1AAA" w:rsidRDefault="006F1AAA" w:rsidP="006F1AAA">
            <w:pPr>
              <w:jc w:val="center"/>
              <w:rPr>
                <w:rFonts w:ascii="Calibri" w:hAnsi="Calibri" w:cs="Calibri"/>
                <w:color w:val="000000"/>
              </w:rPr>
            </w:pPr>
            <w:r>
              <w:rPr>
                <w:rFonts w:ascii="Calibri" w:hAnsi="Calibri" w:cs="Calibri"/>
                <w:color w:val="000000"/>
              </w:rPr>
              <w:t>1.07</w:t>
            </w:r>
          </w:p>
        </w:tc>
        <w:tc>
          <w:tcPr>
            <w:tcW w:w="740" w:type="dxa"/>
            <w:vAlign w:val="bottom"/>
          </w:tcPr>
          <w:p w14:paraId="4C50A99F" w14:textId="56727B40" w:rsidR="006F1AAA" w:rsidRPr="00293413" w:rsidRDefault="006F1AAA" w:rsidP="006F1AAA">
            <w:pPr>
              <w:jc w:val="center"/>
            </w:pPr>
            <w:r>
              <w:rPr>
                <w:rFonts w:ascii="Calibri" w:hAnsi="Calibri" w:cs="Calibri"/>
                <w:color w:val="000000"/>
              </w:rPr>
              <w:t>1,775</w:t>
            </w:r>
          </w:p>
        </w:tc>
        <w:tc>
          <w:tcPr>
            <w:tcW w:w="700" w:type="dxa"/>
            <w:vAlign w:val="bottom"/>
          </w:tcPr>
          <w:p w14:paraId="576D5F70" w14:textId="26E1E392" w:rsidR="006F1AAA" w:rsidRDefault="006F1AAA" w:rsidP="006F1AAA">
            <w:pPr>
              <w:jc w:val="center"/>
              <w:rPr>
                <w:rFonts w:ascii="Calibri" w:hAnsi="Calibri" w:cs="Calibri"/>
                <w:color w:val="000000"/>
              </w:rPr>
            </w:pPr>
            <w:r>
              <w:rPr>
                <w:rFonts w:ascii="Calibri" w:hAnsi="Calibri" w:cs="Calibri"/>
                <w:color w:val="000000"/>
              </w:rPr>
              <w:t>1.03</w:t>
            </w:r>
          </w:p>
        </w:tc>
      </w:tr>
      <w:tr w:rsidR="00780E3C" w14:paraId="21DF0AAA" w14:textId="77777777" w:rsidTr="003C7164">
        <w:tc>
          <w:tcPr>
            <w:tcW w:w="1134" w:type="dxa"/>
            <w:tcBorders>
              <w:bottom w:val="single" w:sz="4" w:space="0" w:color="auto"/>
            </w:tcBorders>
          </w:tcPr>
          <w:p w14:paraId="2DF6C1EB" w14:textId="218F8756" w:rsidR="00780E3C" w:rsidRDefault="00780E3C" w:rsidP="006F1AAA">
            <w:r>
              <w:t>No. farms</w:t>
            </w:r>
          </w:p>
        </w:tc>
        <w:tc>
          <w:tcPr>
            <w:tcW w:w="725" w:type="dxa"/>
            <w:tcBorders>
              <w:bottom w:val="single" w:sz="4" w:space="0" w:color="auto"/>
            </w:tcBorders>
            <w:vAlign w:val="bottom"/>
          </w:tcPr>
          <w:p w14:paraId="6E7A2BF6" w14:textId="238B853F" w:rsidR="00780E3C" w:rsidRDefault="00F04423" w:rsidP="006F1AAA">
            <w:pPr>
              <w:jc w:val="center"/>
              <w:rPr>
                <w:rFonts w:ascii="Calibri" w:hAnsi="Calibri" w:cs="Calibri"/>
                <w:color w:val="000000"/>
              </w:rPr>
            </w:pPr>
            <w:r>
              <w:rPr>
                <w:rFonts w:ascii="Calibri" w:hAnsi="Calibri" w:cs="Calibri"/>
                <w:color w:val="000000"/>
              </w:rPr>
              <w:t>348</w:t>
            </w:r>
          </w:p>
        </w:tc>
        <w:tc>
          <w:tcPr>
            <w:tcW w:w="726" w:type="dxa"/>
            <w:tcBorders>
              <w:bottom w:val="single" w:sz="4" w:space="0" w:color="auto"/>
            </w:tcBorders>
            <w:vAlign w:val="bottom"/>
          </w:tcPr>
          <w:p w14:paraId="5FF5632B" w14:textId="7CDB9738" w:rsidR="00780E3C" w:rsidRDefault="00F04423" w:rsidP="006F1AAA">
            <w:pPr>
              <w:jc w:val="center"/>
              <w:rPr>
                <w:rFonts w:ascii="Calibri" w:hAnsi="Calibri" w:cs="Calibri"/>
                <w:color w:val="000000"/>
              </w:rPr>
            </w:pPr>
            <w:r>
              <w:rPr>
                <w:rFonts w:ascii="Calibri" w:hAnsi="Calibri" w:cs="Calibri"/>
                <w:color w:val="000000"/>
              </w:rPr>
              <w:t>343</w:t>
            </w:r>
          </w:p>
        </w:tc>
        <w:tc>
          <w:tcPr>
            <w:tcW w:w="727" w:type="dxa"/>
            <w:tcBorders>
              <w:bottom w:val="single" w:sz="4" w:space="0" w:color="auto"/>
            </w:tcBorders>
            <w:vAlign w:val="bottom"/>
          </w:tcPr>
          <w:p w14:paraId="63EA4A8D" w14:textId="35D6B944" w:rsidR="00780E3C" w:rsidRDefault="00F04423" w:rsidP="006F1AAA">
            <w:pPr>
              <w:jc w:val="center"/>
              <w:rPr>
                <w:rFonts w:ascii="Calibri" w:hAnsi="Calibri" w:cs="Calibri"/>
                <w:color w:val="000000"/>
              </w:rPr>
            </w:pPr>
            <w:r>
              <w:rPr>
                <w:rFonts w:ascii="Calibri" w:hAnsi="Calibri" w:cs="Calibri"/>
                <w:color w:val="000000"/>
              </w:rPr>
              <w:t>346</w:t>
            </w:r>
          </w:p>
        </w:tc>
        <w:tc>
          <w:tcPr>
            <w:tcW w:w="757" w:type="dxa"/>
            <w:tcBorders>
              <w:bottom w:val="single" w:sz="4" w:space="0" w:color="auto"/>
            </w:tcBorders>
            <w:vAlign w:val="bottom"/>
          </w:tcPr>
          <w:p w14:paraId="2E3AEC93" w14:textId="0AD6A4F4" w:rsidR="00780E3C" w:rsidRDefault="00F04423" w:rsidP="006F1AAA">
            <w:pPr>
              <w:jc w:val="center"/>
              <w:rPr>
                <w:rFonts w:ascii="Calibri" w:hAnsi="Calibri" w:cs="Calibri"/>
                <w:color w:val="000000"/>
              </w:rPr>
            </w:pPr>
            <w:r>
              <w:rPr>
                <w:rFonts w:ascii="Calibri" w:hAnsi="Calibri" w:cs="Calibri"/>
                <w:color w:val="000000"/>
              </w:rPr>
              <w:t>154</w:t>
            </w:r>
          </w:p>
        </w:tc>
        <w:tc>
          <w:tcPr>
            <w:tcW w:w="757" w:type="dxa"/>
            <w:tcBorders>
              <w:bottom w:val="single" w:sz="4" w:space="0" w:color="auto"/>
            </w:tcBorders>
            <w:vAlign w:val="bottom"/>
          </w:tcPr>
          <w:p w14:paraId="259285B7" w14:textId="13602E12" w:rsidR="00780E3C" w:rsidRDefault="00F04423" w:rsidP="006F1AAA">
            <w:pPr>
              <w:jc w:val="center"/>
              <w:rPr>
                <w:rFonts w:ascii="Calibri" w:hAnsi="Calibri" w:cs="Calibri"/>
                <w:color w:val="000000"/>
              </w:rPr>
            </w:pPr>
            <w:r>
              <w:rPr>
                <w:rFonts w:ascii="Calibri" w:hAnsi="Calibri" w:cs="Calibri"/>
                <w:color w:val="000000"/>
              </w:rPr>
              <w:t>137</w:t>
            </w:r>
          </w:p>
        </w:tc>
        <w:tc>
          <w:tcPr>
            <w:tcW w:w="726" w:type="dxa"/>
            <w:tcBorders>
              <w:bottom w:val="single" w:sz="4" w:space="0" w:color="auto"/>
            </w:tcBorders>
            <w:vAlign w:val="bottom"/>
          </w:tcPr>
          <w:p w14:paraId="01208DCF" w14:textId="2F720806" w:rsidR="00780E3C" w:rsidRDefault="00F04423" w:rsidP="006F1AAA">
            <w:pPr>
              <w:jc w:val="center"/>
              <w:rPr>
                <w:rFonts w:ascii="Calibri" w:hAnsi="Calibri" w:cs="Calibri"/>
                <w:color w:val="000000"/>
              </w:rPr>
            </w:pPr>
            <w:r>
              <w:rPr>
                <w:rFonts w:ascii="Calibri" w:hAnsi="Calibri" w:cs="Calibri"/>
                <w:color w:val="000000"/>
              </w:rPr>
              <w:t>145</w:t>
            </w:r>
          </w:p>
        </w:tc>
        <w:tc>
          <w:tcPr>
            <w:tcW w:w="727" w:type="dxa"/>
            <w:tcBorders>
              <w:bottom w:val="single" w:sz="4" w:space="0" w:color="auto"/>
            </w:tcBorders>
            <w:vAlign w:val="bottom"/>
          </w:tcPr>
          <w:p w14:paraId="58ECE6E2" w14:textId="7C40320C" w:rsidR="00780E3C" w:rsidRDefault="00F04423" w:rsidP="006F1AAA">
            <w:pPr>
              <w:jc w:val="center"/>
              <w:rPr>
                <w:rFonts w:ascii="Calibri" w:hAnsi="Calibri" w:cs="Calibri"/>
                <w:color w:val="000000"/>
              </w:rPr>
            </w:pPr>
            <w:r>
              <w:rPr>
                <w:rFonts w:ascii="Calibri" w:hAnsi="Calibri" w:cs="Calibri"/>
                <w:color w:val="000000"/>
              </w:rPr>
              <w:t>107</w:t>
            </w:r>
          </w:p>
        </w:tc>
        <w:tc>
          <w:tcPr>
            <w:tcW w:w="727" w:type="dxa"/>
            <w:tcBorders>
              <w:bottom w:val="single" w:sz="4" w:space="0" w:color="auto"/>
            </w:tcBorders>
            <w:vAlign w:val="bottom"/>
          </w:tcPr>
          <w:p w14:paraId="13625E26" w14:textId="1A2D8015" w:rsidR="00780E3C" w:rsidRDefault="00F04423" w:rsidP="006F1AAA">
            <w:pPr>
              <w:jc w:val="center"/>
              <w:rPr>
                <w:rFonts w:ascii="Calibri" w:hAnsi="Calibri" w:cs="Calibri"/>
                <w:color w:val="000000"/>
              </w:rPr>
            </w:pPr>
            <w:r>
              <w:rPr>
                <w:rFonts w:ascii="Calibri" w:hAnsi="Calibri" w:cs="Calibri"/>
                <w:color w:val="000000"/>
              </w:rPr>
              <w:t>195</w:t>
            </w:r>
          </w:p>
        </w:tc>
        <w:tc>
          <w:tcPr>
            <w:tcW w:w="753" w:type="dxa"/>
            <w:tcBorders>
              <w:bottom w:val="single" w:sz="4" w:space="0" w:color="auto"/>
            </w:tcBorders>
            <w:vAlign w:val="bottom"/>
          </w:tcPr>
          <w:p w14:paraId="3FC281EA" w14:textId="405B996F" w:rsidR="00780E3C" w:rsidRDefault="003C7164" w:rsidP="006F1AAA">
            <w:pPr>
              <w:jc w:val="center"/>
              <w:rPr>
                <w:rFonts w:ascii="Calibri" w:hAnsi="Calibri" w:cs="Calibri"/>
                <w:color w:val="000000"/>
              </w:rPr>
            </w:pPr>
            <w:r>
              <w:rPr>
                <w:rFonts w:ascii="Calibri" w:hAnsi="Calibri" w:cs="Calibri"/>
                <w:color w:val="000000"/>
              </w:rPr>
              <w:t>1,775</w:t>
            </w:r>
          </w:p>
        </w:tc>
        <w:tc>
          <w:tcPr>
            <w:tcW w:w="740" w:type="dxa"/>
            <w:tcBorders>
              <w:bottom w:val="single" w:sz="4" w:space="0" w:color="auto"/>
            </w:tcBorders>
            <w:vAlign w:val="bottom"/>
          </w:tcPr>
          <w:p w14:paraId="23FECAFF" w14:textId="77777777" w:rsidR="00780E3C" w:rsidRDefault="00780E3C" w:rsidP="006F1AAA">
            <w:pPr>
              <w:jc w:val="center"/>
              <w:rPr>
                <w:rFonts w:ascii="Calibri" w:hAnsi="Calibri" w:cs="Calibri"/>
                <w:color w:val="000000"/>
              </w:rPr>
            </w:pPr>
          </w:p>
        </w:tc>
        <w:tc>
          <w:tcPr>
            <w:tcW w:w="700" w:type="dxa"/>
            <w:tcBorders>
              <w:bottom w:val="single" w:sz="4" w:space="0" w:color="auto"/>
            </w:tcBorders>
            <w:vAlign w:val="bottom"/>
          </w:tcPr>
          <w:p w14:paraId="00BE5C14" w14:textId="080EFECF" w:rsidR="00780E3C" w:rsidRDefault="000971A6" w:rsidP="006F1AAA">
            <w:pPr>
              <w:jc w:val="center"/>
              <w:rPr>
                <w:rFonts w:ascii="Calibri" w:hAnsi="Calibri" w:cs="Calibri"/>
                <w:color w:val="000000"/>
              </w:rPr>
            </w:pPr>
            <w:r>
              <w:rPr>
                <w:rFonts w:ascii="Calibri" w:hAnsi="Calibri" w:cs="Calibri"/>
                <w:color w:val="000000"/>
              </w:rPr>
              <w:t>1,149</w:t>
            </w:r>
          </w:p>
        </w:tc>
      </w:tr>
    </w:tbl>
    <w:p w14:paraId="5226CCFC" w14:textId="06A27F6C" w:rsidR="002241B3" w:rsidRDefault="002241B3" w:rsidP="00194937">
      <w:pPr>
        <w:spacing w:before="160" w:line="276" w:lineRule="auto"/>
      </w:pPr>
    </w:p>
    <w:p w14:paraId="52EF2738" w14:textId="5C778F74" w:rsidR="003E7B6D" w:rsidRDefault="003E7B6D" w:rsidP="003E7B6D">
      <w:pPr>
        <w:spacing w:before="160" w:line="276" w:lineRule="auto"/>
      </w:pPr>
      <w:r>
        <w:t xml:space="preserve">However, as documented </w:t>
      </w:r>
      <w:r w:rsidR="00315469">
        <w:t>previo</w:t>
      </w:r>
      <w:r w:rsidR="00D80F32">
        <w:t>u</w:t>
      </w:r>
      <w:r w:rsidR="00315469">
        <w:t>s</w:t>
      </w:r>
      <w:r w:rsidR="00D80F32">
        <w:t>l</w:t>
      </w:r>
      <w:r w:rsidR="00315469">
        <w:t>y</w:t>
      </w:r>
      <w:r>
        <w:t xml:space="preserve"> in this manual, meat production has become an increasing component of farm exports</w:t>
      </w:r>
      <w:r w:rsidR="00570A1B">
        <w:t xml:space="preserve">. </w:t>
      </w:r>
      <w:r>
        <w:t xml:space="preserve">ADCC and DairyBase allocate a proportion of GHG emissions to meat production. The legacy data within DairyBase </w:t>
      </w:r>
      <w:r w:rsidR="005B416D">
        <w:t>estimated the likely number of calves born each year</w:t>
      </w:r>
      <w:r w:rsidR="001548D7">
        <w:t>, assum</w:t>
      </w:r>
      <w:r w:rsidR="00A523D6">
        <w:t xml:space="preserve">ed </w:t>
      </w:r>
      <w:r w:rsidR="004312F8">
        <w:t xml:space="preserve">to be </w:t>
      </w:r>
      <w:r w:rsidR="00A523D6">
        <w:t>a 50:50 split between heifer and bull calves</w:t>
      </w:r>
      <w:r w:rsidR="00C7739F">
        <w:t xml:space="preserve">. The number of Heifers &lt; 1 </w:t>
      </w:r>
      <w:proofErr w:type="spellStart"/>
      <w:r w:rsidR="00C7739F">
        <w:t>yr</w:t>
      </w:r>
      <w:proofErr w:type="spellEnd"/>
      <w:r w:rsidR="00C7739F">
        <w:t xml:space="preserve"> age was subtracted from total number of heifer calves born</w:t>
      </w:r>
      <w:r w:rsidR="00E25A00">
        <w:t>, with</w:t>
      </w:r>
      <w:r w:rsidR="002B2F7F">
        <w:t xml:space="preserve"> these ‘non-replacement’ heifer calves </w:t>
      </w:r>
      <w:r>
        <w:t>sold soon after birth.</w:t>
      </w:r>
      <w:r w:rsidR="00E25A00">
        <w:t xml:space="preserve"> </w:t>
      </w:r>
      <w:r w:rsidR="00E71FFF">
        <w:t xml:space="preserve">Similarly, all bull calves were </w:t>
      </w:r>
      <w:r w:rsidR="00F24AB3">
        <w:t>assumed to be sold soon after birth, unless</w:t>
      </w:r>
      <w:r w:rsidR="00F93F4B">
        <w:t xml:space="preserve"> there were stock numbers </w:t>
      </w:r>
      <w:r w:rsidR="00F24AB3">
        <w:t xml:space="preserve">included in the Other Livestock class. </w:t>
      </w:r>
      <w:r w:rsidR="00F93F4B">
        <w:t xml:space="preserve">For example, if a farm had </w:t>
      </w:r>
      <w:r w:rsidR="00251CC0">
        <w:t xml:space="preserve">400 cows milking, </w:t>
      </w:r>
      <w:r w:rsidR="004F2BAD">
        <w:t xml:space="preserve">it was assumed there would </w:t>
      </w:r>
      <w:r w:rsidR="000D73F5">
        <w:t xml:space="preserve">also </w:t>
      </w:r>
      <w:r w:rsidR="004F2BAD">
        <w:t xml:space="preserve">be 400 calves. If </w:t>
      </w:r>
      <w:r w:rsidR="000D73F5">
        <w:t>t</w:t>
      </w:r>
      <w:r w:rsidR="004F2BAD">
        <w:t>here w</w:t>
      </w:r>
      <w:r w:rsidR="00A74900">
        <w:t>ere</w:t>
      </w:r>
      <w:r w:rsidR="004F2BAD">
        <w:t xml:space="preserve"> </w:t>
      </w:r>
      <w:r w:rsidR="00251CC0">
        <w:t xml:space="preserve">100 </w:t>
      </w:r>
      <w:r w:rsidR="004F2BAD">
        <w:t xml:space="preserve">Heifers &lt; 1 </w:t>
      </w:r>
      <w:proofErr w:type="spellStart"/>
      <w:r w:rsidR="004F2BAD">
        <w:t>yr</w:t>
      </w:r>
      <w:proofErr w:type="spellEnd"/>
      <w:r w:rsidR="004F2BAD">
        <w:t xml:space="preserve"> age</w:t>
      </w:r>
      <w:r w:rsidR="00996647">
        <w:t>,</w:t>
      </w:r>
      <w:r w:rsidR="004F2BAD">
        <w:t xml:space="preserve"> </w:t>
      </w:r>
      <w:r w:rsidR="00251CC0">
        <w:t xml:space="preserve">and </w:t>
      </w:r>
      <w:r w:rsidR="004F2BAD">
        <w:t xml:space="preserve">100 Other Livestock, </w:t>
      </w:r>
      <w:r w:rsidR="0076219B">
        <w:t xml:space="preserve">ADCC assumed that the balance </w:t>
      </w:r>
      <w:r w:rsidR="00721E42">
        <w:t>2</w:t>
      </w:r>
      <w:r w:rsidR="00A74900">
        <w:t xml:space="preserve">00 </w:t>
      </w:r>
      <w:r w:rsidR="0076219B">
        <w:t>calves were sold soon after birth. T</w:t>
      </w:r>
      <w:r>
        <w:t>he meat EI represents all meat sold off farm from culled cows, surplus calves, fattened livestock</w:t>
      </w:r>
      <w:r w:rsidR="002879EB">
        <w:t>,</w:t>
      </w:r>
      <w:r>
        <w:t xml:space="preserve"> and any additional </w:t>
      </w:r>
      <w:r w:rsidR="00C020D9">
        <w:t xml:space="preserve">Rising 1 year old </w:t>
      </w:r>
      <w:r>
        <w:t xml:space="preserve">replacement heifers not required to match the </w:t>
      </w:r>
      <w:r w:rsidR="00B3627D">
        <w:t xml:space="preserve">Rising 2 </w:t>
      </w:r>
      <w:proofErr w:type="spellStart"/>
      <w:r w:rsidR="00B3627D">
        <w:t>yr</w:t>
      </w:r>
      <w:proofErr w:type="spellEnd"/>
      <w:r w:rsidR="00B3627D">
        <w:t xml:space="preserve"> old replacement numbers. For example, if a farm had 120 Rising 1 year </w:t>
      </w:r>
      <w:proofErr w:type="spellStart"/>
      <w:r w:rsidR="00B3627D">
        <w:t>olds</w:t>
      </w:r>
      <w:proofErr w:type="spellEnd"/>
      <w:r w:rsidR="002879EB">
        <w:t>,</w:t>
      </w:r>
      <w:r w:rsidR="00B3627D">
        <w:t xml:space="preserve"> and 110 Rising 2 years </w:t>
      </w:r>
      <w:proofErr w:type="spellStart"/>
      <w:r w:rsidR="00B3627D">
        <w:t>olds</w:t>
      </w:r>
      <w:proofErr w:type="spellEnd"/>
      <w:r w:rsidR="00B3627D">
        <w:t xml:space="preserve">, 10 of the Rising 1 year </w:t>
      </w:r>
      <w:proofErr w:type="spellStart"/>
      <w:r w:rsidR="00B3627D">
        <w:t>olds</w:t>
      </w:r>
      <w:proofErr w:type="spellEnd"/>
      <w:r w:rsidR="00B3627D">
        <w:t xml:space="preserve"> were assumed to have been sold</w:t>
      </w:r>
      <w:r w:rsidR="002879EB">
        <w:t xml:space="preserve"> post-weaning at 150-200 kg liveweight</w:t>
      </w:r>
      <w:r w:rsidR="00B3627D">
        <w:t xml:space="preserve">. </w:t>
      </w:r>
    </w:p>
    <w:p w14:paraId="3BC0777F" w14:textId="2DC23E36" w:rsidR="003E7B6D" w:rsidRDefault="005D1AE3" w:rsidP="003E7B6D">
      <w:pPr>
        <w:spacing w:before="160" w:line="276" w:lineRule="auto"/>
      </w:pPr>
      <w:r>
        <w:lastRenderedPageBreak/>
        <w:t xml:space="preserve">After considering an allocation of net GHG emissions to meat production, the </w:t>
      </w:r>
      <w:r w:rsidR="006D56E8">
        <w:t xml:space="preserve">national </w:t>
      </w:r>
      <w:r>
        <w:t>EI of milk production</w:t>
      </w:r>
      <w:r w:rsidR="006D56E8">
        <w:t xml:space="preserve"> reduced </w:t>
      </w:r>
      <w:r w:rsidR="003E7B6D">
        <w:t>from 1.07 to 0.93 kg CO</w:t>
      </w:r>
      <w:r w:rsidR="003E7B6D" w:rsidRPr="000B5020">
        <w:rPr>
          <w:vertAlign w:val="subscript"/>
        </w:rPr>
        <w:t>2</w:t>
      </w:r>
      <w:r w:rsidR="003E7B6D">
        <w:t xml:space="preserve">e/kg FPCM (Table 2). Unlike </w:t>
      </w:r>
      <w:r w:rsidR="000944C5">
        <w:t xml:space="preserve">the results in </w:t>
      </w:r>
      <w:r w:rsidR="003E7B6D">
        <w:t xml:space="preserve">Table 1, there is no comparative Old NGGI methodology milk EI comparison as this analysis could not be retrospectively completed. There </w:t>
      </w:r>
      <w:r w:rsidR="002E4DC8">
        <w:t xml:space="preserve">were </w:t>
      </w:r>
      <w:r w:rsidR="003E7B6D">
        <w:t xml:space="preserve">minimal differences in meat EI across </w:t>
      </w:r>
      <w:r w:rsidR="00D267B6">
        <w:t>regions and years</w:t>
      </w:r>
      <w:r w:rsidR="00BA3413">
        <w:t>. H</w:t>
      </w:r>
      <w:r w:rsidR="003E7B6D">
        <w:t>owever, the pattern generally trended the same way as milk EI. For example, Nth NSW had the highest milk and meat EIs</w:t>
      </w:r>
      <w:r w:rsidR="003A2CFF">
        <w:t>.</w:t>
      </w:r>
      <w:r w:rsidR="00462B7E">
        <w:t xml:space="preserve"> </w:t>
      </w:r>
      <w:r w:rsidR="009B6BF1">
        <w:t>Most of</w:t>
      </w:r>
      <w:r w:rsidR="003E7B6D">
        <w:t xml:space="preserve"> the datasets had a milk EI of between 0.85 and 1.04 kg CO</w:t>
      </w:r>
      <w:r w:rsidR="003E7B6D" w:rsidRPr="00531E32">
        <w:rPr>
          <w:vertAlign w:val="subscript"/>
        </w:rPr>
        <w:t>2</w:t>
      </w:r>
      <w:r w:rsidR="003E7B6D">
        <w:t>e/kg FPCM (Figure 26)</w:t>
      </w:r>
      <w:r w:rsidR="00473099">
        <w:t xml:space="preserve">, while most </w:t>
      </w:r>
      <w:r w:rsidR="003E7B6D">
        <w:t>meat EI</w:t>
      </w:r>
      <w:r w:rsidR="00473099">
        <w:t>s</w:t>
      </w:r>
      <w:r w:rsidR="003E7B6D">
        <w:t xml:space="preserve"> </w:t>
      </w:r>
      <w:r w:rsidR="00473099">
        <w:t xml:space="preserve">varied between </w:t>
      </w:r>
      <w:r w:rsidR="003E7B6D">
        <w:t>3.9 and 4.8 kg CO</w:t>
      </w:r>
      <w:r w:rsidR="003E7B6D" w:rsidRPr="00531E32">
        <w:rPr>
          <w:vertAlign w:val="subscript"/>
        </w:rPr>
        <w:t>2</w:t>
      </w:r>
      <w:r w:rsidR="003E7B6D">
        <w:t>e/kg liveweight (Figure 27).</w:t>
      </w:r>
    </w:p>
    <w:p w14:paraId="1E19D52D" w14:textId="6013F3B7" w:rsidR="00570A1B" w:rsidRDefault="00570A1B" w:rsidP="003E7B6D">
      <w:pPr>
        <w:spacing w:before="160" w:line="276" w:lineRule="auto"/>
      </w:pPr>
    </w:p>
    <w:p w14:paraId="5A8EE886" w14:textId="7F06225F" w:rsidR="000F2794" w:rsidRPr="000F2794" w:rsidRDefault="000F2794" w:rsidP="00194937">
      <w:pPr>
        <w:spacing w:before="160" w:line="276" w:lineRule="auto"/>
      </w:pPr>
      <w:r>
        <w:rPr>
          <w:b/>
          <w:bCs/>
        </w:rPr>
        <w:t>Table 2.</w:t>
      </w:r>
      <w:r>
        <w:t xml:space="preserve"> Mean regional and national </w:t>
      </w:r>
      <w:r w:rsidR="0091260C">
        <w:t xml:space="preserve">milk </w:t>
      </w:r>
      <w:r>
        <w:t>emissions intensity (kg CO</w:t>
      </w:r>
      <w:r w:rsidRPr="001C29BB">
        <w:rPr>
          <w:vertAlign w:val="subscript"/>
        </w:rPr>
        <w:t>2</w:t>
      </w:r>
      <w:r>
        <w:t>e/kg FPCM)</w:t>
      </w:r>
      <w:r w:rsidR="00BD23B9">
        <w:t>,</w:t>
      </w:r>
      <w:r>
        <w:t xml:space="preserve"> </w:t>
      </w:r>
      <w:r w:rsidR="0091260C">
        <w:t>and meat emissions intensity (kg CO</w:t>
      </w:r>
      <w:r w:rsidR="0091260C" w:rsidRPr="000363E8">
        <w:rPr>
          <w:vertAlign w:val="subscript"/>
        </w:rPr>
        <w:t>2</w:t>
      </w:r>
      <w:r w:rsidR="0091260C">
        <w:t>e/kg liveweight)</w:t>
      </w:r>
      <w:r w:rsidR="00BD23B9">
        <w:t>,</w:t>
      </w:r>
      <w:r w:rsidR="0091260C">
        <w:t xml:space="preserve"> </w:t>
      </w:r>
      <w:r>
        <w:t>when allocating a proportion of G</w:t>
      </w:r>
      <w:r w:rsidR="007B66FB">
        <w:t>HG emissions to meat production.</w:t>
      </w:r>
      <w:r w:rsidR="0064422C" w:rsidRPr="0064422C">
        <w:t xml:space="preserve"> </w:t>
      </w:r>
      <w:r w:rsidR="0064422C">
        <w:t>FY</w:t>
      </w:r>
      <w:r w:rsidR="00344C89">
        <w:t xml:space="preserve"> </w:t>
      </w:r>
      <w:r w:rsidR="0064422C">
        <w:t>2007 reflects the 2006-07 financial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728"/>
        <w:gridCol w:w="728"/>
        <w:gridCol w:w="729"/>
        <w:gridCol w:w="759"/>
        <w:gridCol w:w="759"/>
        <w:gridCol w:w="728"/>
        <w:gridCol w:w="729"/>
        <w:gridCol w:w="729"/>
        <w:gridCol w:w="755"/>
        <w:gridCol w:w="755"/>
      </w:tblGrid>
      <w:tr w:rsidR="00AD36F5" w14:paraId="474076B6" w14:textId="33ACDAFF" w:rsidTr="00422C3D">
        <w:tc>
          <w:tcPr>
            <w:tcW w:w="962" w:type="dxa"/>
            <w:tcBorders>
              <w:top w:val="single" w:sz="4" w:space="0" w:color="auto"/>
              <w:bottom w:val="single" w:sz="4" w:space="0" w:color="auto"/>
            </w:tcBorders>
            <w:shd w:val="clear" w:color="auto" w:fill="D0CECE" w:themeFill="background2" w:themeFillShade="E6"/>
          </w:tcPr>
          <w:p w14:paraId="3A12FE78" w14:textId="77777777" w:rsidR="00AD36F5" w:rsidRPr="00422C3D" w:rsidRDefault="00AD36F5" w:rsidP="001230D4">
            <w:pPr>
              <w:rPr>
                <w:b/>
                <w:bCs/>
              </w:rPr>
            </w:pPr>
            <w:r w:rsidRPr="00422C3D">
              <w:rPr>
                <w:b/>
                <w:bCs/>
              </w:rPr>
              <w:t>Year</w:t>
            </w:r>
          </w:p>
        </w:tc>
        <w:tc>
          <w:tcPr>
            <w:tcW w:w="728" w:type="dxa"/>
            <w:tcBorders>
              <w:top w:val="single" w:sz="4" w:space="0" w:color="auto"/>
              <w:bottom w:val="single" w:sz="4" w:space="0" w:color="auto"/>
            </w:tcBorders>
            <w:shd w:val="clear" w:color="auto" w:fill="D0CECE" w:themeFill="background2" w:themeFillShade="E6"/>
          </w:tcPr>
          <w:p w14:paraId="05B9082E" w14:textId="77777777" w:rsidR="00AD36F5" w:rsidRPr="00422C3D" w:rsidRDefault="00AD36F5" w:rsidP="001230D4">
            <w:pPr>
              <w:jc w:val="center"/>
              <w:rPr>
                <w:b/>
                <w:bCs/>
              </w:rPr>
            </w:pPr>
            <w:r w:rsidRPr="00422C3D">
              <w:rPr>
                <w:b/>
                <w:bCs/>
              </w:rPr>
              <w:t>SE Vic</w:t>
            </w:r>
          </w:p>
        </w:tc>
        <w:tc>
          <w:tcPr>
            <w:tcW w:w="728" w:type="dxa"/>
            <w:tcBorders>
              <w:top w:val="single" w:sz="4" w:space="0" w:color="auto"/>
              <w:bottom w:val="single" w:sz="4" w:space="0" w:color="auto"/>
            </w:tcBorders>
            <w:shd w:val="clear" w:color="auto" w:fill="D0CECE" w:themeFill="background2" w:themeFillShade="E6"/>
          </w:tcPr>
          <w:p w14:paraId="267B843C" w14:textId="77777777" w:rsidR="00AD36F5" w:rsidRPr="00422C3D" w:rsidRDefault="00AD36F5" w:rsidP="001230D4">
            <w:pPr>
              <w:jc w:val="center"/>
              <w:rPr>
                <w:b/>
                <w:bCs/>
              </w:rPr>
            </w:pPr>
            <w:r w:rsidRPr="00422C3D">
              <w:rPr>
                <w:b/>
                <w:bCs/>
              </w:rPr>
              <w:t>Nth Vic</w:t>
            </w:r>
          </w:p>
        </w:tc>
        <w:tc>
          <w:tcPr>
            <w:tcW w:w="729" w:type="dxa"/>
            <w:tcBorders>
              <w:top w:val="single" w:sz="4" w:space="0" w:color="auto"/>
              <w:bottom w:val="single" w:sz="4" w:space="0" w:color="auto"/>
            </w:tcBorders>
            <w:shd w:val="clear" w:color="auto" w:fill="D0CECE" w:themeFill="background2" w:themeFillShade="E6"/>
          </w:tcPr>
          <w:p w14:paraId="6B8CBC20" w14:textId="77777777" w:rsidR="00AD36F5" w:rsidRPr="00422C3D" w:rsidRDefault="00AD36F5" w:rsidP="001230D4">
            <w:pPr>
              <w:jc w:val="center"/>
              <w:rPr>
                <w:b/>
                <w:bCs/>
              </w:rPr>
            </w:pPr>
            <w:r w:rsidRPr="00422C3D">
              <w:rPr>
                <w:b/>
                <w:bCs/>
              </w:rPr>
              <w:t>SW VIC</w:t>
            </w:r>
          </w:p>
        </w:tc>
        <w:tc>
          <w:tcPr>
            <w:tcW w:w="759" w:type="dxa"/>
            <w:tcBorders>
              <w:top w:val="single" w:sz="4" w:space="0" w:color="auto"/>
              <w:bottom w:val="single" w:sz="4" w:space="0" w:color="auto"/>
            </w:tcBorders>
            <w:shd w:val="clear" w:color="auto" w:fill="D0CECE" w:themeFill="background2" w:themeFillShade="E6"/>
          </w:tcPr>
          <w:p w14:paraId="1119F8A9" w14:textId="77777777" w:rsidR="00AD36F5" w:rsidRPr="00422C3D" w:rsidRDefault="00AD36F5" w:rsidP="001230D4">
            <w:pPr>
              <w:jc w:val="center"/>
              <w:rPr>
                <w:b/>
                <w:bCs/>
              </w:rPr>
            </w:pPr>
            <w:r w:rsidRPr="00422C3D">
              <w:rPr>
                <w:b/>
                <w:bCs/>
              </w:rPr>
              <w:t>Nth</w:t>
            </w:r>
          </w:p>
          <w:p w14:paraId="2C652790" w14:textId="77777777" w:rsidR="00AD36F5" w:rsidRPr="00422C3D" w:rsidRDefault="00AD36F5" w:rsidP="001230D4">
            <w:pPr>
              <w:jc w:val="center"/>
              <w:rPr>
                <w:b/>
                <w:bCs/>
              </w:rPr>
            </w:pPr>
            <w:r w:rsidRPr="00422C3D">
              <w:rPr>
                <w:b/>
                <w:bCs/>
              </w:rPr>
              <w:t>NSW</w:t>
            </w:r>
          </w:p>
        </w:tc>
        <w:tc>
          <w:tcPr>
            <w:tcW w:w="759" w:type="dxa"/>
            <w:tcBorders>
              <w:top w:val="single" w:sz="4" w:space="0" w:color="auto"/>
              <w:bottom w:val="single" w:sz="4" w:space="0" w:color="auto"/>
            </w:tcBorders>
            <w:shd w:val="clear" w:color="auto" w:fill="D0CECE" w:themeFill="background2" w:themeFillShade="E6"/>
          </w:tcPr>
          <w:p w14:paraId="3FAB93AF" w14:textId="77777777" w:rsidR="00AD36F5" w:rsidRPr="00422C3D" w:rsidRDefault="00AD36F5" w:rsidP="001230D4">
            <w:pPr>
              <w:jc w:val="center"/>
              <w:rPr>
                <w:b/>
                <w:bCs/>
              </w:rPr>
            </w:pPr>
            <w:proofErr w:type="spellStart"/>
            <w:r w:rsidRPr="00422C3D">
              <w:rPr>
                <w:b/>
                <w:bCs/>
              </w:rPr>
              <w:t>Sth</w:t>
            </w:r>
            <w:proofErr w:type="spellEnd"/>
            <w:r w:rsidRPr="00422C3D">
              <w:rPr>
                <w:b/>
                <w:bCs/>
              </w:rPr>
              <w:t xml:space="preserve"> NSW</w:t>
            </w:r>
          </w:p>
        </w:tc>
        <w:tc>
          <w:tcPr>
            <w:tcW w:w="728" w:type="dxa"/>
            <w:tcBorders>
              <w:top w:val="single" w:sz="4" w:space="0" w:color="auto"/>
              <w:bottom w:val="single" w:sz="4" w:space="0" w:color="auto"/>
            </w:tcBorders>
            <w:shd w:val="clear" w:color="auto" w:fill="D0CECE" w:themeFill="background2" w:themeFillShade="E6"/>
          </w:tcPr>
          <w:p w14:paraId="344D6848" w14:textId="77777777" w:rsidR="00AD36F5" w:rsidRPr="00422C3D" w:rsidRDefault="00AD36F5" w:rsidP="001230D4">
            <w:pPr>
              <w:jc w:val="center"/>
              <w:rPr>
                <w:b/>
                <w:bCs/>
              </w:rPr>
            </w:pPr>
            <w:r w:rsidRPr="00422C3D">
              <w:rPr>
                <w:b/>
                <w:bCs/>
              </w:rPr>
              <w:t>SA</w:t>
            </w:r>
          </w:p>
        </w:tc>
        <w:tc>
          <w:tcPr>
            <w:tcW w:w="729" w:type="dxa"/>
            <w:tcBorders>
              <w:top w:val="single" w:sz="4" w:space="0" w:color="auto"/>
              <w:bottom w:val="single" w:sz="4" w:space="0" w:color="auto"/>
            </w:tcBorders>
            <w:shd w:val="clear" w:color="auto" w:fill="D0CECE" w:themeFill="background2" w:themeFillShade="E6"/>
          </w:tcPr>
          <w:p w14:paraId="18A6657B" w14:textId="77777777" w:rsidR="00AD36F5" w:rsidRPr="00422C3D" w:rsidRDefault="00AD36F5" w:rsidP="001230D4">
            <w:pPr>
              <w:jc w:val="center"/>
              <w:rPr>
                <w:b/>
                <w:bCs/>
              </w:rPr>
            </w:pPr>
            <w:r w:rsidRPr="00422C3D">
              <w:rPr>
                <w:b/>
                <w:bCs/>
              </w:rPr>
              <w:t>TAS</w:t>
            </w:r>
          </w:p>
        </w:tc>
        <w:tc>
          <w:tcPr>
            <w:tcW w:w="729" w:type="dxa"/>
            <w:tcBorders>
              <w:top w:val="single" w:sz="4" w:space="0" w:color="auto"/>
              <w:bottom w:val="single" w:sz="4" w:space="0" w:color="auto"/>
            </w:tcBorders>
            <w:shd w:val="clear" w:color="auto" w:fill="D0CECE" w:themeFill="background2" w:themeFillShade="E6"/>
          </w:tcPr>
          <w:p w14:paraId="428FD28F" w14:textId="77777777" w:rsidR="00AD36F5" w:rsidRPr="00422C3D" w:rsidRDefault="00AD36F5" w:rsidP="001230D4">
            <w:pPr>
              <w:jc w:val="center"/>
              <w:rPr>
                <w:b/>
                <w:bCs/>
              </w:rPr>
            </w:pPr>
            <w:r w:rsidRPr="00422C3D">
              <w:rPr>
                <w:b/>
                <w:bCs/>
              </w:rPr>
              <w:t>WA</w:t>
            </w:r>
          </w:p>
        </w:tc>
        <w:tc>
          <w:tcPr>
            <w:tcW w:w="755" w:type="dxa"/>
            <w:tcBorders>
              <w:top w:val="single" w:sz="4" w:space="0" w:color="auto"/>
              <w:bottom w:val="single" w:sz="4" w:space="0" w:color="auto"/>
            </w:tcBorders>
            <w:shd w:val="clear" w:color="auto" w:fill="D0CECE" w:themeFill="background2" w:themeFillShade="E6"/>
          </w:tcPr>
          <w:p w14:paraId="228D9E9A" w14:textId="77777777" w:rsidR="00AD36F5" w:rsidRPr="00422C3D" w:rsidRDefault="00AD36F5" w:rsidP="001230D4">
            <w:pPr>
              <w:jc w:val="center"/>
              <w:rPr>
                <w:b/>
                <w:bCs/>
              </w:rPr>
            </w:pPr>
            <w:proofErr w:type="spellStart"/>
            <w:r w:rsidRPr="00422C3D">
              <w:rPr>
                <w:b/>
                <w:bCs/>
              </w:rPr>
              <w:t>Aus</w:t>
            </w:r>
            <w:proofErr w:type="spellEnd"/>
            <w:r w:rsidRPr="00422C3D">
              <w:rPr>
                <w:b/>
                <w:bCs/>
              </w:rPr>
              <w:t xml:space="preserve"> wide</w:t>
            </w:r>
          </w:p>
        </w:tc>
        <w:tc>
          <w:tcPr>
            <w:tcW w:w="755" w:type="dxa"/>
            <w:tcBorders>
              <w:top w:val="single" w:sz="4" w:space="0" w:color="auto"/>
              <w:bottom w:val="single" w:sz="4" w:space="0" w:color="auto"/>
            </w:tcBorders>
            <w:shd w:val="clear" w:color="auto" w:fill="D0CECE" w:themeFill="background2" w:themeFillShade="E6"/>
          </w:tcPr>
          <w:p w14:paraId="095A2AE1" w14:textId="031B066C" w:rsidR="00AD36F5" w:rsidRPr="00422C3D" w:rsidRDefault="00AD36F5" w:rsidP="001230D4">
            <w:pPr>
              <w:jc w:val="center"/>
              <w:rPr>
                <w:b/>
                <w:bCs/>
              </w:rPr>
            </w:pPr>
            <w:r w:rsidRPr="00422C3D">
              <w:rPr>
                <w:b/>
                <w:bCs/>
              </w:rPr>
              <w:t>Meat EI</w:t>
            </w:r>
          </w:p>
        </w:tc>
      </w:tr>
      <w:tr w:rsidR="0091260C" w14:paraId="22AC4614" w14:textId="7C87281C" w:rsidTr="00FF0DE7">
        <w:tc>
          <w:tcPr>
            <w:tcW w:w="962" w:type="dxa"/>
            <w:tcBorders>
              <w:top w:val="single" w:sz="4" w:space="0" w:color="auto"/>
            </w:tcBorders>
          </w:tcPr>
          <w:p w14:paraId="0F16F62B" w14:textId="77777777" w:rsidR="0091260C" w:rsidRDefault="0091260C" w:rsidP="0091260C">
            <w:r>
              <w:t>FY 2007</w:t>
            </w:r>
          </w:p>
        </w:tc>
        <w:tc>
          <w:tcPr>
            <w:tcW w:w="728" w:type="dxa"/>
            <w:tcBorders>
              <w:top w:val="single" w:sz="4" w:space="0" w:color="auto"/>
            </w:tcBorders>
            <w:vAlign w:val="bottom"/>
          </w:tcPr>
          <w:p w14:paraId="7EEE7F1F" w14:textId="48E43F94" w:rsidR="0091260C" w:rsidRDefault="0091260C" w:rsidP="0091260C">
            <w:pPr>
              <w:jc w:val="center"/>
            </w:pPr>
            <w:r>
              <w:rPr>
                <w:rFonts w:ascii="Calibri" w:hAnsi="Calibri" w:cs="Calibri"/>
                <w:color w:val="000000"/>
              </w:rPr>
              <w:t>1.00</w:t>
            </w:r>
          </w:p>
        </w:tc>
        <w:tc>
          <w:tcPr>
            <w:tcW w:w="728" w:type="dxa"/>
            <w:tcBorders>
              <w:top w:val="single" w:sz="4" w:space="0" w:color="auto"/>
            </w:tcBorders>
            <w:vAlign w:val="bottom"/>
          </w:tcPr>
          <w:p w14:paraId="1E8FCE9C" w14:textId="6804D4F6" w:rsidR="0091260C" w:rsidRDefault="0091260C" w:rsidP="0091260C">
            <w:pPr>
              <w:jc w:val="center"/>
            </w:pPr>
            <w:r>
              <w:rPr>
                <w:rFonts w:ascii="Calibri" w:hAnsi="Calibri" w:cs="Calibri"/>
                <w:color w:val="000000"/>
              </w:rPr>
              <w:t>1.02</w:t>
            </w:r>
          </w:p>
        </w:tc>
        <w:tc>
          <w:tcPr>
            <w:tcW w:w="729" w:type="dxa"/>
            <w:tcBorders>
              <w:top w:val="single" w:sz="4" w:space="0" w:color="auto"/>
            </w:tcBorders>
            <w:vAlign w:val="bottom"/>
          </w:tcPr>
          <w:p w14:paraId="0DF60460" w14:textId="4A25FDAE" w:rsidR="0091260C" w:rsidRDefault="0091260C" w:rsidP="0091260C">
            <w:pPr>
              <w:jc w:val="center"/>
            </w:pPr>
            <w:r>
              <w:rPr>
                <w:rFonts w:ascii="Calibri" w:hAnsi="Calibri" w:cs="Calibri"/>
                <w:color w:val="000000"/>
              </w:rPr>
              <w:t>0.92</w:t>
            </w:r>
          </w:p>
        </w:tc>
        <w:tc>
          <w:tcPr>
            <w:tcW w:w="759" w:type="dxa"/>
            <w:tcBorders>
              <w:top w:val="single" w:sz="4" w:space="0" w:color="auto"/>
            </w:tcBorders>
            <w:vAlign w:val="bottom"/>
          </w:tcPr>
          <w:p w14:paraId="32129837" w14:textId="77777777" w:rsidR="0091260C" w:rsidRDefault="0091260C" w:rsidP="0091260C">
            <w:pPr>
              <w:jc w:val="center"/>
            </w:pPr>
          </w:p>
        </w:tc>
        <w:tc>
          <w:tcPr>
            <w:tcW w:w="759" w:type="dxa"/>
            <w:tcBorders>
              <w:top w:val="single" w:sz="4" w:space="0" w:color="auto"/>
            </w:tcBorders>
            <w:vAlign w:val="bottom"/>
          </w:tcPr>
          <w:p w14:paraId="0E663872" w14:textId="77777777" w:rsidR="0091260C" w:rsidRDefault="0091260C" w:rsidP="0091260C">
            <w:pPr>
              <w:jc w:val="center"/>
            </w:pPr>
          </w:p>
        </w:tc>
        <w:tc>
          <w:tcPr>
            <w:tcW w:w="728" w:type="dxa"/>
            <w:tcBorders>
              <w:top w:val="single" w:sz="4" w:space="0" w:color="auto"/>
            </w:tcBorders>
            <w:vAlign w:val="bottom"/>
          </w:tcPr>
          <w:p w14:paraId="02902551" w14:textId="77777777" w:rsidR="0091260C" w:rsidRDefault="0091260C" w:rsidP="0091260C">
            <w:pPr>
              <w:jc w:val="center"/>
            </w:pPr>
          </w:p>
        </w:tc>
        <w:tc>
          <w:tcPr>
            <w:tcW w:w="729" w:type="dxa"/>
            <w:tcBorders>
              <w:top w:val="single" w:sz="4" w:space="0" w:color="auto"/>
            </w:tcBorders>
            <w:vAlign w:val="bottom"/>
          </w:tcPr>
          <w:p w14:paraId="6EF434DE" w14:textId="77777777" w:rsidR="0091260C" w:rsidRDefault="0091260C" w:rsidP="0091260C">
            <w:pPr>
              <w:jc w:val="center"/>
            </w:pPr>
          </w:p>
        </w:tc>
        <w:tc>
          <w:tcPr>
            <w:tcW w:w="729" w:type="dxa"/>
            <w:tcBorders>
              <w:top w:val="single" w:sz="4" w:space="0" w:color="auto"/>
            </w:tcBorders>
            <w:vAlign w:val="bottom"/>
          </w:tcPr>
          <w:p w14:paraId="299D1B71" w14:textId="77777777" w:rsidR="0091260C" w:rsidRDefault="0091260C" w:rsidP="0091260C">
            <w:pPr>
              <w:jc w:val="center"/>
            </w:pPr>
          </w:p>
        </w:tc>
        <w:tc>
          <w:tcPr>
            <w:tcW w:w="755" w:type="dxa"/>
            <w:tcBorders>
              <w:top w:val="single" w:sz="4" w:space="0" w:color="auto"/>
            </w:tcBorders>
            <w:vAlign w:val="bottom"/>
          </w:tcPr>
          <w:p w14:paraId="0B329319" w14:textId="43A1DD8E" w:rsidR="0091260C" w:rsidRDefault="0091260C" w:rsidP="0091260C">
            <w:pPr>
              <w:jc w:val="center"/>
            </w:pPr>
            <w:r>
              <w:rPr>
                <w:rFonts w:ascii="Calibri" w:hAnsi="Calibri" w:cs="Calibri"/>
                <w:color w:val="000000"/>
              </w:rPr>
              <w:t>0.98</w:t>
            </w:r>
          </w:p>
        </w:tc>
        <w:tc>
          <w:tcPr>
            <w:tcW w:w="755" w:type="dxa"/>
            <w:tcBorders>
              <w:top w:val="single" w:sz="4" w:space="0" w:color="auto"/>
            </w:tcBorders>
            <w:vAlign w:val="bottom"/>
          </w:tcPr>
          <w:p w14:paraId="681AA910" w14:textId="15231B69" w:rsidR="0091260C" w:rsidRDefault="0091260C" w:rsidP="0091260C">
            <w:pPr>
              <w:jc w:val="center"/>
              <w:rPr>
                <w:rFonts w:ascii="Calibri" w:hAnsi="Calibri" w:cs="Calibri"/>
                <w:color w:val="000000"/>
              </w:rPr>
            </w:pPr>
            <w:r>
              <w:rPr>
                <w:rFonts w:ascii="Calibri" w:hAnsi="Calibri" w:cs="Calibri"/>
                <w:color w:val="000000"/>
              </w:rPr>
              <w:t>4.7</w:t>
            </w:r>
          </w:p>
        </w:tc>
      </w:tr>
      <w:tr w:rsidR="0091260C" w14:paraId="4F4D102B" w14:textId="639180A2" w:rsidTr="00FF0DE7">
        <w:tc>
          <w:tcPr>
            <w:tcW w:w="962" w:type="dxa"/>
          </w:tcPr>
          <w:p w14:paraId="46093439" w14:textId="77777777" w:rsidR="0091260C" w:rsidRDefault="0091260C" w:rsidP="0091260C">
            <w:r>
              <w:t>FY 2008</w:t>
            </w:r>
          </w:p>
        </w:tc>
        <w:tc>
          <w:tcPr>
            <w:tcW w:w="728" w:type="dxa"/>
            <w:vAlign w:val="bottom"/>
          </w:tcPr>
          <w:p w14:paraId="6A254911" w14:textId="020DC747" w:rsidR="0091260C" w:rsidRDefault="0091260C" w:rsidP="0091260C">
            <w:pPr>
              <w:jc w:val="center"/>
            </w:pPr>
            <w:r>
              <w:rPr>
                <w:rFonts w:ascii="Calibri" w:hAnsi="Calibri" w:cs="Calibri"/>
                <w:color w:val="000000"/>
              </w:rPr>
              <w:t>0.96</w:t>
            </w:r>
          </w:p>
        </w:tc>
        <w:tc>
          <w:tcPr>
            <w:tcW w:w="728" w:type="dxa"/>
            <w:vAlign w:val="bottom"/>
          </w:tcPr>
          <w:p w14:paraId="337113A1" w14:textId="2AB3C8B1" w:rsidR="0091260C" w:rsidRDefault="0091260C" w:rsidP="0091260C">
            <w:pPr>
              <w:jc w:val="center"/>
            </w:pPr>
            <w:r>
              <w:rPr>
                <w:rFonts w:ascii="Calibri" w:hAnsi="Calibri" w:cs="Calibri"/>
                <w:color w:val="000000"/>
              </w:rPr>
              <w:t>0.91</w:t>
            </w:r>
          </w:p>
        </w:tc>
        <w:tc>
          <w:tcPr>
            <w:tcW w:w="729" w:type="dxa"/>
            <w:vAlign w:val="bottom"/>
          </w:tcPr>
          <w:p w14:paraId="140AC409" w14:textId="47BB5DEB" w:rsidR="0091260C" w:rsidRDefault="0091260C" w:rsidP="0091260C">
            <w:pPr>
              <w:jc w:val="center"/>
            </w:pPr>
            <w:r>
              <w:rPr>
                <w:rFonts w:ascii="Calibri" w:hAnsi="Calibri" w:cs="Calibri"/>
                <w:color w:val="000000"/>
              </w:rPr>
              <w:t>0.97</w:t>
            </w:r>
          </w:p>
        </w:tc>
        <w:tc>
          <w:tcPr>
            <w:tcW w:w="759" w:type="dxa"/>
            <w:vAlign w:val="bottom"/>
          </w:tcPr>
          <w:p w14:paraId="7C0F37C0" w14:textId="77777777" w:rsidR="0091260C" w:rsidRDefault="0091260C" w:rsidP="0091260C">
            <w:pPr>
              <w:jc w:val="center"/>
            </w:pPr>
          </w:p>
        </w:tc>
        <w:tc>
          <w:tcPr>
            <w:tcW w:w="759" w:type="dxa"/>
            <w:vAlign w:val="bottom"/>
          </w:tcPr>
          <w:p w14:paraId="6EDAC093" w14:textId="77777777" w:rsidR="0091260C" w:rsidRDefault="0091260C" w:rsidP="0091260C">
            <w:pPr>
              <w:jc w:val="center"/>
            </w:pPr>
          </w:p>
        </w:tc>
        <w:tc>
          <w:tcPr>
            <w:tcW w:w="728" w:type="dxa"/>
            <w:vAlign w:val="bottom"/>
          </w:tcPr>
          <w:p w14:paraId="591AC31C" w14:textId="77777777" w:rsidR="0091260C" w:rsidRDefault="0091260C" w:rsidP="0091260C">
            <w:pPr>
              <w:jc w:val="center"/>
            </w:pPr>
          </w:p>
        </w:tc>
        <w:tc>
          <w:tcPr>
            <w:tcW w:w="729" w:type="dxa"/>
            <w:vAlign w:val="bottom"/>
          </w:tcPr>
          <w:p w14:paraId="72BBDED0" w14:textId="77777777" w:rsidR="0091260C" w:rsidRDefault="0091260C" w:rsidP="0091260C">
            <w:pPr>
              <w:jc w:val="center"/>
            </w:pPr>
          </w:p>
        </w:tc>
        <w:tc>
          <w:tcPr>
            <w:tcW w:w="729" w:type="dxa"/>
            <w:vAlign w:val="bottom"/>
          </w:tcPr>
          <w:p w14:paraId="2C5FC301" w14:textId="77777777" w:rsidR="0091260C" w:rsidRDefault="0091260C" w:rsidP="0091260C">
            <w:pPr>
              <w:jc w:val="center"/>
            </w:pPr>
          </w:p>
        </w:tc>
        <w:tc>
          <w:tcPr>
            <w:tcW w:w="755" w:type="dxa"/>
            <w:vAlign w:val="bottom"/>
          </w:tcPr>
          <w:p w14:paraId="70C8D780" w14:textId="26210370" w:rsidR="0091260C" w:rsidRDefault="0091260C" w:rsidP="0091260C">
            <w:pPr>
              <w:jc w:val="center"/>
            </w:pPr>
            <w:r>
              <w:rPr>
                <w:rFonts w:ascii="Calibri" w:hAnsi="Calibri" w:cs="Calibri"/>
                <w:color w:val="000000"/>
              </w:rPr>
              <w:t>0.95</w:t>
            </w:r>
          </w:p>
        </w:tc>
        <w:tc>
          <w:tcPr>
            <w:tcW w:w="755" w:type="dxa"/>
            <w:vAlign w:val="bottom"/>
          </w:tcPr>
          <w:p w14:paraId="6000C0D5" w14:textId="7EDF4AD4" w:rsidR="0091260C" w:rsidRDefault="0091260C" w:rsidP="0091260C">
            <w:pPr>
              <w:jc w:val="center"/>
              <w:rPr>
                <w:rFonts w:ascii="Calibri" w:hAnsi="Calibri" w:cs="Calibri"/>
                <w:color w:val="000000"/>
              </w:rPr>
            </w:pPr>
            <w:r>
              <w:rPr>
                <w:rFonts w:ascii="Calibri" w:hAnsi="Calibri" w:cs="Calibri"/>
                <w:color w:val="000000"/>
              </w:rPr>
              <w:t>4.5</w:t>
            </w:r>
          </w:p>
        </w:tc>
      </w:tr>
      <w:tr w:rsidR="0091260C" w14:paraId="703B7311" w14:textId="78800E0A" w:rsidTr="00FF0DE7">
        <w:tc>
          <w:tcPr>
            <w:tcW w:w="962" w:type="dxa"/>
          </w:tcPr>
          <w:p w14:paraId="5A721D8F" w14:textId="77777777" w:rsidR="0091260C" w:rsidRDefault="0091260C" w:rsidP="0091260C">
            <w:r>
              <w:t>FY 2009</w:t>
            </w:r>
          </w:p>
        </w:tc>
        <w:tc>
          <w:tcPr>
            <w:tcW w:w="728" w:type="dxa"/>
            <w:vAlign w:val="bottom"/>
          </w:tcPr>
          <w:p w14:paraId="66E4CBEA" w14:textId="65AED1C0" w:rsidR="0091260C" w:rsidRDefault="0091260C" w:rsidP="0091260C">
            <w:pPr>
              <w:jc w:val="center"/>
            </w:pPr>
            <w:r>
              <w:rPr>
                <w:rFonts w:ascii="Calibri" w:hAnsi="Calibri" w:cs="Calibri"/>
                <w:color w:val="000000"/>
              </w:rPr>
              <w:t>0.93</w:t>
            </w:r>
          </w:p>
        </w:tc>
        <w:tc>
          <w:tcPr>
            <w:tcW w:w="728" w:type="dxa"/>
            <w:vAlign w:val="bottom"/>
          </w:tcPr>
          <w:p w14:paraId="726FCF75" w14:textId="7E317A17" w:rsidR="0091260C" w:rsidRDefault="0091260C" w:rsidP="0091260C">
            <w:pPr>
              <w:jc w:val="center"/>
            </w:pPr>
            <w:r>
              <w:rPr>
                <w:rFonts w:ascii="Calibri" w:hAnsi="Calibri" w:cs="Calibri"/>
                <w:color w:val="000000"/>
              </w:rPr>
              <w:t>0.91</w:t>
            </w:r>
          </w:p>
        </w:tc>
        <w:tc>
          <w:tcPr>
            <w:tcW w:w="729" w:type="dxa"/>
            <w:vAlign w:val="bottom"/>
          </w:tcPr>
          <w:p w14:paraId="4676BA95" w14:textId="030972AA" w:rsidR="0091260C" w:rsidRDefault="0091260C" w:rsidP="0091260C">
            <w:pPr>
              <w:jc w:val="center"/>
            </w:pPr>
            <w:r>
              <w:rPr>
                <w:rFonts w:ascii="Calibri" w:hAnsi="Calibri" w:cs="Calibri"/>
                <w:color w:val="000000"/>
              </w:rPr>
              <w:t>0.92</w:t>
            </w:r>
          </w:p>
        </w:tc>
        <w:tc>
          <w:tcPr>
            <w:tcW w:w="759" w:type="dxa"/>
            <w:vAlign w:val="bottom"/>
          </w:tcPr>
          <w:p w14:paraId="53E0C25D" w14:textId="77777777" w:rsidR="0091260C" w:rsidRDefault="0091260C" w:rsidP="0091260C">
            <w:pPr>
              <w:jc w:val="center"/>
            </w:pPr>
          </w:p>
        </w:tc>
        <w:tc>
          <w:tcPr>
            <w:tcW w:w="759" w:type="dxa"/>
            <w:vAlign w:val="bottom"/>
          </w:tcPr>
          <w:p w14:paraId="708D5AA0" w14:textId="77777777" w:rsidR="0091260C" w:rsidRDefault="0091260C" w:rsidP="0091260C">
            <w:pPr>
              <w:jc w:val="center"/>
            </w:pPr>
          </w:p>
        </w:tc>
        <w:tc>
          <w:tcPr>
            <w:tcW w:w="728" w:type="dxa"/>
            <w:vAlign w:val="bottom"/>
          </w:tcPr>
          <w:p w14:paraId="79DA9B17" w14:textId="77777777" w:rsidR="0091260C" w:rsidRDefault="0091260C" w:rsidP="0091260C">
            <w:pPr>
              <w:jc w:val="center"/>
            </w:pPr>
          </w:p>
        </w:tc>
        <w:tc>
          <w:tcPr>
            <w:tcW w:w="729" w:type="dxa"/>
            <w:vAlign w:val="bottom"/>
          </w:tcPr>
          <w:p w14:paraId="527CC202" w14:textId="77777777" w:rsidR="0091260C" w:rsidRDefault="0091260C" w:rsidP="0091260C">
            <w:pPr>
              <w:jc w:val="center"/>
            </w:pPr>
          </w:p>
        </w:tc>
        <w:tc>
          <w:tcPr>
            <w:tcW w:w="729" w:type="dxa"/>
            <w:vAlign w:val="bottom"/>
          </w:tcPr>
          <w:p w14:paraId="172B9BEC" w14:textId="77777777" w:rsidR="0091260C" w:rsidRDefault="0091260C" w:rsidP="0091260C">
            <w:pPr>
              <w:jc w:val="center"/>
            </w:pPr>
          </w:p>
        </w:tc>
        <w:tc>
          <w:tcPr>
            <w:tcW w:w="755" w:type="dxa"/>
            <w:vAlign w:val="bottom"/>
          </w:tcPr>
          <w:p w14:paraId="7F09745D" w14:textId="0DFFB5E9" w:rsidR="0091260C" w:rsidRDefault="0091260C" w:rsidP="0091260C">
            <w:pPr>
              <w:jc w:val="center"/>
            </w:pPr>
            <w:r>
              <w:rPr>
                <w:rFonts w:ascii="Calibri" w:hAnsi="Calibri" w:cs="Calibri"/>
                <w:color w:val="000000"/>
              </w:rPr>
              <w:t>0.92</w:t>
            </w:r>
          </w:p>
        </w:tc>
        <w:tc>
          <w:tcPr>
            <w:tcW w:w="755" w:type="dxa"/>
            <w:vAlign w:val="bottom"/>
          </w:tcPr>
          <w:p w14:paraId="63A79F80" w14:textId="5746B65A"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556D849E" w14:textId="6658C2EF" w:rsidTr="00FF0DE7">
        <w:tc>
          <w:tcPr>
            <w:tcW w:w="962" w:type="dxa"/>
          </w:tcPr>
          <w:p w14:paraId="33BA4CEF" w14:textId="77777777" w:rsidR="0091260C" w:rsidRDefault="0091260C" w:rsidP="0091260C">
            <w:r>
              <w:t>FY 2010</w:t>
            </w:r>
          </w:p>
        </w:tc>
        <w:tc>
          <w:tcPr>
            <w:tcW w:w="728" w:type="dxa"/>
            <w:vAlign w:val="bottom"/>
          </w:tcPr>
          <w:p w14:paraId="0D264D1C" w14:textId="6123584F" w:rsidR="0091260C" w:rsidRDefault="0091260C" w:rsidP="0091260C">
            <w:pPr>
              <w:jc w:val="center"/>
            </w:pPr>
            <w:r>
              <w:rPr>
                <w:rFonts w:ascii="Calibri" w:hAnsi="Calibri" w:cs="Calibri"/>
                <w:color w:val="000000"/>
              </w:rPr>
              <w:t>0.96</w:t>
            </w:r>
          </w:p>
        </w:tc>
        <w:tc>
          <w:tcPr>
            <w:tcW w:w="728" w:type="dxa"/>
            <w:vAlign w:val="bottom"/>
          </w:tcPr>
          <w:p w14:paraId="1168EE50" w14:textId="2247C3ED" w:rsidR="0091260C" w:rsidRDefault="0091260C" w:rsidP="0091260C">
            <w:pPr>
              <w:jc w:val="center"/>
            </w:pPr>
            <w:r>
              <w:rPr>
                <w:rFonts w:ascii="Calibri" w:hAnsi="Calibri" w:cs="Calibri"/>
                <w:color w:val="000000"/>
              </w:rPr>
              <w:t>0.93</w:t>
            </w:r>
          </w:p>
        </w:tc>
        <w:tc>
          <w:tcPr>
            <w:tcW w:w="729" w:type="dxa"/>
            <w:vAlign w:val="bottom"/>
          </w:tcPr>
          <w:p w14:paraId="018B1CF4" w14:textId="0A86BC62" w:rsidR="0091260C" w:rsidRDefault="0091260C" w:rsidP="0091260C">
            <w:pPr>
              <w:jc w:val="center"/>
            </w:pPr>
            <w:r>
              <w:rPr>
                <w:rFonts w:ascii="Calibri" w:hAnsi="Calibri" w:cs="Calibri"/>
                <w:color w:val="000000"/>
              </w:rPr>
              <w:t>0.91</w:t>
            </w:r>
          </w:p>
        </w:tc>
        <w:tc>
          <w:tcPr>
            <w:tcW w:w="759" w:type="dxa"/>
            <w:vAlign w:val="bottom"/>
          </w:tcPr>
          <w:p w14:paraId="50E25E5C" w14:textId="77777777" w:rsidR="0091260C" w:rsidRDefault="0091260C" w:rsidP="0091260C">
            <w:pPr>
              <w:jc w:val="center"/>
            </w:pPr>
          </w:p>
        </w:tc>
        <w:tc>
          <w:tcPr>
            <w:tcW w:w="759" w:type="dxa"/>
            <w:vAlign w:val="bottom"/>
          </w:tcPr>
          <w:p w14:paraId="174ABF39" w14:textId="77777777" w:rsidR="0091260C" w:rsidRDefault="0091260C" w:rsidP="0091260C">
            <w:pPr>
              <w:jc w:val="center"/>
            </w:pPr>
          </w:p>
        </w:tc>
        <w:tc>
          <w:tcPr>
            <w:tcW w:w="728" w:type="dxa"/>
            <w:vAlign w:val="bottom"/>
          </w:tcPr>
          <w:p w14:paraId="2996BDCF" w14:textId="77777777" w:rsidR="0091260C" w:rsidRDefault="0091260C" w:rsidP="0091260C">
            <w:pPr>
              <w:jc w:val="center"/>
            </w:pPr>
          </w:p>
        </w:tc>
        <w:tc>
          <w:tcPr>
            <w:tcW w:w="729" w:type="dxa"/>
            <w:vAlign w:val="bottom"/>
          </w:tcPr>
          <w:p w14:paraId="16FC6859" w14:textId="77777777" w:rsidR="0091260C" w:rsidRDefault="0091260C" w:rsidP="0091260C">
            <w:pPr>
              <w:jc w:val="center"/>
            </w:pPr>
          </w:p>
        </w:tc>
        <w:tc>
          <w:tcPr>
            <w:tcW w:w="729" w:type="dxa"/>
            <w:vAlign w:val="bottom"/>
          </w:tcPr>
          <w:p w14:paraId="6C3BD002" w14:textId="77777777" w:rsidR="0091260C" w:rsidRDefault="0091260C" w:rsidP="0091260C">
            <w:pPr>
              <w:jc w:val="center"/>
            </w:pPr>
          </w:p>
        </w:tc>
        <w:tc>
          <w:tcPr>
            <w:tcW w:w="755" w:type="dxa"/>
            <w:vAlign w:val="bottom"/>
          </w:tcPr>
          <w:p w14:paraId="4DA7C6F9" w14:textId="04982BF6" w:rsidR="0091260C" w:rsidRDefault="0091260C" w:rsidP="0091260C">
            <w:pPr>
              <w:jc w:val="center"/>
            </w:pPr>
            <w:r>
              <w:rPr>
                <w:rFonts w:ascii="Calibri" w:hAnsi="Calibri" w:cs="Calibri"/>
                <w:color w:val="000000"/>
              </w:rPr>
              <w:t>0.93</w:t>
            </w:r>
          </w:p>
        </w:tc>
        <w:tc>
          <w:tcPr>
            <w:tcW w:w="755" w:type="dxa"/>
            <w:vAlign w:val="bottom"/>
          </w:tcPr>
          <w:p w14:paraId="763B4302" w14:textId="4ECE86F7"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6A274C03" w14:textId="41D584E9" w:rsidTr="00FF0DE7">
        <w:tc>
          <w:tcPr>
            <w:tcW w:w="962" w:type="dxa"/>
          </w:tcPr>
          <w:p w14:paraId="6585904B" w14:textId="77777777" w:rsidR="0091260C" w:rsidRDefault="0091260C" w:rsidP="0091260C">
            <w:r>
              <w:t>FY 2011</w:t>
            </w:r>
          </w:p>
        </w:tc>
        <w:tc>
          <w:tcPr>
            <w:tcW w:w="728" w:type="dxa"/>
            <w:vAlign w:val="bottom"/>
          </w:tcPr>
          <w:p w14:paraId="4FFD777E" w14:textId="5DC1DA6B" w:rsidR="0091260C" w:rsidRDefault="0091260C" w:rsidP="0091260C">
            <w:pPr>
              <w:jc w:val="center"/>
            </w:pPr>
            <w:r>
              <w:rPr>
                <w:rFonts w:ascii="Calibri" w:hAnsi="Calibri" w:cs="Calibri"/>
                <w:color w:val="000000"/>
              </w:rPr>
              <w:t>0.91</w:t>
            </w:r>
          </w:p>
        </w:tc>
        <w:tc>
          <w:tcPr>
            <w:tcW w:w="728" w:type="dxa"/>
            <w:vAlign w:val="bottom"/>
          </w:tcPr>
          <w:p w14:paraId="49DE0C57" w14:textId="21358653" w:rsidR="0091260C" w:rsidRDefault="0091260C" w:rsidP="0091260C">
            <w:pPr>
              <w:jc w:val="center"/>
            </w:pPr>
            <w:r>
              <w:rPr>
                <w:rFonts w:ascii="Calibri" w:hAnsi="Calibri" w:cs="Calibri"/>
                <w:color w:val="000000"/>
              </w:rPr>
              <w:t>0.90</w:t>
            </w:r>
          </w:p>
        </w:tc>
        <w:tc>
          <w:tcPr>
            <w:tcW w:w="729" w:type="dxa"/>
            <w:vAlign w:val="bottom"/>
          </w:tcPr>
          <w:p w14:paraId="668C5133" w14:textId="4052D4D0" w:rsidR="0091260C" w:rsidRDefault="0091260C" w:rsidP="0091260C">
            <w:pPr>
              <w:jc w:val="center"/>
            </w:pPr>
            <w:r>
              <w:rPr>
                <w:rFonts w:ascii="Calibri" w:hAnsi="Calibri" w:cs="Calibri"/>
                <w:color w:val="000000"/>
              </w:rPr>
              <w:t>0.94</w:t>
            </w:r>
          </w:p>
        </w:tc>
        <w:tc>
          <w:tcPr>
            <w:tcW w:w="759" w:type="dxa"/>
            <w:vAlign w:val="bottom"/>
          </w:tcPr>
          <w:p w14:paraId="30140B70" w14:textId="77777777" w:rsidR="0091260C" w:rsidRDefault="0091260C" w:rsidP="0091260C">
            <w:pPr>
              <w:jc w:val="center"/>
            </w:pPr>
          </w:p>
        </w:tc>
        <w:tc>
          <w:tcPr>
            <w:tcW w:w="759" w:type="dxa"/>
            <w:vAlign w:val="bottom"/>
          </w:tcPr>
          <w:p w14:paraId="0C078F79" w14:textId="77777777" w:rsidR="0091260C" w:rsidRDefault="0091260C" w:rsidP="0091260C">
            <w:pPr>
              <w:jc w:val="center"/>
            </w:pPr>
          </w:p>
        </w:tc>
        <w:tc>
          <w:tcPr>
            <w:tcW w:w="728" w:type="dxa"/>
            <w:vAlign w:val="bottom"/>
          </w:tcPr>
          <w:p w14:paraId="1917C8E3" w14:textId="77777777" w:rsidR="0091260C" w:rsidRDefault="0091260C" w:rsidP="0091260C">
            <w:pPr>
              <w:jc w:val="center"/>
            </w:pPr>
          </w:p>
        </w:tc>
        <w:tc>
          <w:tcPr>
            <w:tcW w:w="729" w:type="dxa"/>
            <w:vAlign w:val="bottom"/>
          </w:tcPr>
          <w:p w14:paraId="40825B38" w14:textId="77777777" w:rsidR="0091260C" w:rsidRDefault="0091260C" w:rsidP="0091260C">
            <w:pPr>
              <w:jc w:val="center"/>
            </w:pPr>
          </w:p>
        </w:tc>
        <w:tc>
          <w:tcPr>
            <w:tcW w:w="729" w:type="dxa"/>
            <w:vAlign w:val="bottom"/>
          </w:tcPr>
          <w:p w14:paraId="63F25A5E" w14:textId="77777777" w:rsidR="0091260C" w:rsidRDefault="0091260C" w:rsidP="0091260C">
            <w:pPr>
              <w:jc w:val="center"/>
            </w:pPr>
          </w:p>
        </w:tc>
        <w:tc>
          <w:tcPr>
            <w:tcW w:w="755" w:type="dxa"/>
            <w:vAlign w:val="bottom"/>
          </w:tcPr>
          <w:p w14:paraId="6381BEFC" w14:textId="58A92BF7" w:rsidR="0091260C" w:rsidRDefault="0091260C" w:rsidP="0091260C">
            <w:pPr>
              <w:jc w:val="center"/>
            </w:pPr>
            <w:r>
              <w:rPr>
                <w:rFonts w:ascii="Calibri" w:hAnsi="Calibri" w:cs="Calibri"/>
                <w:color w:val="000000"/>
              </w:rPr>
              <w:t>0.91</w:t>
            </w:r>
          </w:p>
        </w:tc>
        <w:tc>
          <w:tcPr>
            <w:tcW w:w="755" w:type="dxa"/>
            <w:vAlign w:val="bottom"/>
          </w:tcPr>
          <w:p w14:paraId="3758C5F9" w14:textId="641C9DA0"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5AB34B0A" w14:textId="6AE61A85" w:rsidTr="00FF0DE7">
        <w:tc>
          <w:tcPr>
            <w:tcW w:w="962" w:type="dxa"/>
          </w:tcPr>
          <w:p w14:paraId="009BED0E" w14:textId="77777777" w:rsidR="0091260C" w:rsidRDefault="0091260C" w:rsidP="0091260C">
            <w:r>
              <w:t>FY 2012</w:t>
            </w:r>
          </w:p>
        </w:tc>
        <w:tc>
          <w:tcPr>
            <w:tcW w:w="728" w:type="dxa"/>
            <w:vAlign w:val="bottom"/>
          </w:tcPr>
          <w:p w14:paraId="78E1DD04" w14:textId="7B492B91" w:rsidR="0091260C" w:rsidRDefault="0091260C" w:rsidP="0091260C">
            <w:pPr>
              <w:jc w:val="center"/>
            </w:pPr>
            <w:r>
              <w:rPr>
                <w:rFonts w:ascii="Calibri" w:hAnsi="Calibri" w:cs="Calibri"/>
                <w:color w:val="000000"/>
              </w:rPr>
              <w:t>0.91</w:t>
            </w:r>
          </w:p>
        </w:tc>
        <w:tc>
          <w:tcPr>
            <w:tcW w:w="728" w:type="dxa"/>
            <w:vAlign w:val="bottom"/>
          </w:tcPr>
          <w:p w14:paraId="0BE8E5BB" w14:textId="0523D848" w:rsidR="0091260C" w:rsidRDefault="0091260C" w:rsidP="0091260C">
            <w:pPr>
              <w:jc w:val="center"/>
            </w:pPr>
            <w:r>
              <w:rPr>
                <w:rFonts w:ascii="Calibri" w:hAnsi="Calibri" w:cs="Calibri"/>
                <w:color w:val="000000"/>
              </w:rPr>
              <w:t>0.90</w:t>
            </w:r>
          </w:p>
        </w:tc>
        <w:tc>
          <w:tcPr>
            <w:tcW w:w="729" w:type="dxa"/>
            <w:vAlign w:val="bottom"/>
          </w:tcPr>
          <w:p w14:paraId="00C1FEF2" w14:textId="16EC389F" w:rsidR="0091260C" w:rsidRDefault="0091260C" w:rsidP="0091260C">
            <w:pPr>
              <w:jc w:val="center"/>
            </w:pPr>
            <w:r>
              <w:rPr>
                <w:rFonts w:ascii="Calibri" w:hAnsi="Calibri" w:cs="Calibri"/>
                <w:color w:val="000000"/>
              </w:rPr>
              <w:t>0.93</w:t>
            </w:r>
          </w:p>
        </w:tc>
        <w:tc>
          <w:tcPr>
            <w:tcW w:w="759" w:type="dxa"/>
            <w:vAlign w:val="bottom"/>
          </w:tcPr>
          <w:p w14:paraId="2D5E2C62" w14:textId="1190C930" w:rsidR="0091260C" w:rsidRDefault="0091260C" w:rsidP="0091260C">
            <w:pPr>
              <w:jc w:val="center"/>
            </w:pPr>
            <w:r>
              <w:rPr>
                <w:rFonts w:ascii="Calibri" w:hAnsi="Calibri" w:cs="Calibri"/>
                <w:color w:val="000000"/>
              </w:rPr>
              <w:t>1.04</w:t>
            </w:r>
          </w:p>
        </w:tc>
        <w:tc>
          <w:tcPr>
            <w:tcW w:w="759" w:type="dxa"/>
            <w:vAlign w:val="bottom"/>
          </w:tcPr>
          <w:p w14:paraId="10D9745C" w14:textId="77777777" w:rsidR="0091260C" w:rsidRDefault="0091260C" w:rsidP="0091260C">
            <w:pPr>
              <w:jc w:val="center"/>
            </w:pPr>
          </w:p>
        </w:tc>
        <w:tc>
          <w:tcPr>
            <w:tcW w:w="728" w:type="dxa"/>
            <w:vAlign w:val="bottom"/>
          </w:tcPr>
          <w:p w14:paraId="0151BAB7" w14:textId="77777777" w:rsidR="0091260C" w:rsidRDefault="0091260C" w:rsidP="0091260C">
            <w:pPr>
              <w:jc w:val="center"/>
            </w:pPr>
          </w:p>
        </w:tc>
        <w:tc>
          <w:tcPr>
            <w:tcW w:w="729" w:type="dxa"/>
            <w:vAlign w:val="bottom"/>
          </w:tcPr>
          <w:p w14:paraId="3774ACAD" w14:textId="77777777" w:rsidR="0091260C" w:rsidRDefault="0091260C" w:rsidP="0091260C">
            <w:pPr>
              <w:jc w:val="center"/>
            </w:pPr>
          </w:p>
        </w:tc>
        <w:tc>
          <w:tcPr>
            <w:tcW w:w="729" w:type="dxa"/>
            <w:vAlign w:val="bottom"/>
          </w:tcPr>
          <w:p w14:paraId="12112ECC" w14:textId="77777777" w:rsidR="0091260C" w:rsidRDefault="0091260C" w:rsidP="0091260C">
            <w:pPr>
              <w:jc w:val="center"/>
            </w:pPr>
          </w:p>
        </w:tc>
        <w:tc>
          <w:tcPr>
            <w:tcW w:w="755" w:type="dxa"/>
            <w:vAlign w:val="bottom"/>
          </w:tcPr>
          <w:p w14:paraId="383D0973" w14:textId="0B490833" w:rsidR="0091260C" w:rsidRDefault="0091260C" w:rsidP="0091260C">
            <w:pPr>
              <w:jc w:val="center"/>
            </w:pPr>
            <w:r>
              <w:rPr>
                <w:rFonts w:ascii="Calibri" w:hAnsi="Calibri" w:cs="Calibri"/>
                <w:color w:val="000000"/>
              </w:rPr>
              <w:t>0.92</w:t>
            </w:r>
          </w:p>
        </w:tc>
        <w:tc>
          <w:tcPr>
            <w:tcW w:w="755" w:type="dxa"/>
            <w:vAlign w:val="bottom"/>
          </w:tcPr>
          <w:p w14:paraId="18943E5B" w14:textId="38D7F28B"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5CC0B5AB" w14:textId="147193A1" w:rsidTr="00FF0DE7">
        <w:tc>
          <w:tcPr>
            <w:tcW w:w="962" w:type="dxa"/>
          </w:tcPr>
          <w:p w14:paraId="2B52B16D" w14:textId="77777777" w:rsidR="0091260C" w:rsidRDefault="0091260C" w:rsidP="0091260C">
            <w:r>
              <w:t>FY 2013</w:t>
            </w:r>
          </w:p>
        </w:tc>
        <w:tc>
          <w:tcPr>
            <w:tcW w:w="728" w:type="dxa"/>
            <w:vAlign w:val="bottom"/>
          </w:tcPr>
          <w:p w14:paraId="1E6D6091" w14:textId="382D1C1A" w:rsidR="0091260C" w:rsidRDefault="0091260C" w:rsidP="0091260C">
            <w:pPr>
              <w:jc w:val="center"/>
            </w:pPr>
            <w:r>
              <w:rPr>
                <w:rFonts w:ascii="Calibri" w:hAnsi="Calibri" w:cs="Calibri"/>
                <w:color w:val="000000"/>
              </w:rPr>
              <w:t>0.97</w:t>
            </w:r>
          </w:p>
        </w:tc>
        <w:tc>
          <w:tcPr>
            <w:tcW w:w="728" w:type="dxa"/>
            <w:vAlign w:val="bottom"/>
          </w:tcPr>
          <w:p w14:paraId="651E5677" w14:textId="3861EF6B" w:rsidR="0091260C" w:rsidRDefault="0091260C" w:rsidP="0091260C">
            <w:pPr>
              <w:jc w:val="center"/>
            </w:pPr>
            <w:r>
              <w:rPr>
                <w:rFonts w:ascii="Calibri" w:hAnsi="Calibri" w:cs="Calibri"/>
                <w:color w:val="000000"/>
              </w:rPr>
              <w:t>0.90</w:t>
            </w:r>
          </w:p>
        </w:tc>
        <w:tc>
          <w:tcPr>
            <w:tcW w:w="729" w:type="dxa"/>
            <w:vAlign w:val="bottom"/>
          </w:tcPr>
          <w:p w14:paraId="57E8117C" w14:textId="206A65B9" w:rsidR="0091260C" w:rsidRDefault="0091260C" w:rsidP="0091260C">
            <w:pPr>
              <w:jc w:val="center"/>
            </w:pPr>
            <w:r>
              <w:rPr>
                <w:rFonts w:ascii="Calibri" w:hAnsi="Calibri" w:cs="Calibri"/>
                <w:color w:val="000000"/>
              </w:rPr>
              <w:t>0.93</w:t>
            </w:r>
          </w:p>
        </w:tc>
        <w:tc>
          <w:tcPr>
            <w:tcW w:w="759" w:type="dxa"/>
            <w:vAlign w:val="bottom"/>
          </w:tcPr>
          <w:p w14:paraId="7CF39E5B" w14:textId="582BA3E1" w:rsidR="0091260C" w:rsidRDefault="0091260C" w:rsidP="0091260C">
            <w:pPr>
              <w:jc w:val="center"/>
            </w:pPr>
            <w:r>
              <w:rPr>
                <w:rFonts w:ascii="Calibri" w:hAnsi="Calibri" w:cs="Calibri"/>
                <w:color w:val="000000"/>
              </w:rPr>
              <w:t>1.05</w:t>
            </w:r>
          </w:p>
        </w:tc>
        <w:tc>
          <w:tcPr>
            <w:tcW w:w="759" w:type="dxa"/>
            <w:vAlign w:val="bottom"/>
          </w:tcPr>
          <w:p w14:paraId="290F00DF" w14:textId="7219B3DA" w:rsidR="0091260C" w:rsidRDefault="0091260C" w:rsidP="0091260C">
            <w:pPr>
              <w:jc w:val="center"/>
            </w:pPr>
            <w:r>
              <w:rPr>
                <w:rFonts w:ascii="Calibri" w:hAnsi="Calibri" w:cs="Calibri"/>
                <w:color w:val="000000"/>
              </w:rPr>
              <w:t>0.93</w:t>
            </w:r>
          </w:p>
        </w:tc>
        <w:tc>
          <w:tcPr>
            <w:tcW w:w="728" w:type="dxa"/>
            <w:vAlign w:val="bottom"/>
          </w:tcPr>
          <w:p w14:paraId="3FA12F92" w14:textId="5A64B319" w:rsidR="0091260C" w:rsidRDefault="0091260C" w:rsidP="0091260C">
            <w:pPr>
              <w:jc w:val="center"/>
            </w:pPr>
            <w:r>
              <w:rPr>
                <w:rFonts w:ascii="Calibri" w:hAnsi="Calibri" w:cs="Calibri"/>
                <w:color w:val="000000"/>
              </w:rPr>
              <w:t>0.89</w:t>
            </w:r>
          </w:p>
        </w:tc>
        <w:tc>
          <w:tcPr>
            <w:tcW w:w="729" w:type="dxa"/>
            <w:vAlign w:val="bottom"/>
          </w:tcPr>
          <w:p w14:paraId="25AAD599" w14:textId="77777777" w:rsidR="0091260C" w:rsidRDefault="0091260C" w:rsidP="0091260C">
            <w:pPr>
              <w:jc w:val="center"/>
            </w:pPr>
          </w:p>
        </w:tc>
        <w:tc>
          <w:tcPr>
            <w:tcW w:w="729" w:type="dxa"/>
            <w:vAlign w:val="bottom"/>
          </w:tcPr>
          <w:p w14:paraId="25D11517" w14:textId="77777777" w:rsidR="0091260C" w:rsidRDefault="0091260C" w:rsidP="0091260C">
            <w:pPr>
              <w:jc w:val="center"/>
            </w:pPr>
          </w:p>
        </w:tc>
        <w:tc>
          <w:tcPr>
            <w:tcW w:w="755" w:type="dxa"/>
            <w:vAlign w:val="bottom"/>
          </w:tcPr>
          <w:p w14:paraId="6122EA45" w14:textId="4899A8E4" w:rsidR="0091260C" w:rsidRDefault="0091260C" w:rsidP="0091260C">
            <w:pPr>
              <w:jc w:val="center"/>
            </w:pPr>
            <w:r>
              <w:rPr>
                <w:rFonts w:ascii="Calibri" w:hAnsi="Calibri" w:cs="Calibri"/>
                <w:color w:val="000000"/>
              </w:rPr>
              <w:t>0.94</w:t>
            </w:r>
          </w:p>
        </w:tc>
        <w:tc>
          <w:tcPr>
            <w:tcW w:w="755" w:type="dxa"/>
            <w:vAlign w:val="bottom"/>
          </w:tcPr>
          <w:p w14:paraId="64394E38" w14:textId="4F809C28"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3629B80C" w14:textId="7E8DDE88" w:rsidTr="00FF0DE7">
        <w:tc>
          <w:tcPr>
            <w:tcW w:w="962" w:type="dxa"/>
          </w:tcPr>
          <w:p w14:paraId="68064320" w14:textId="77777777" w:rsidR="0091260C" w:rsidRDefault="0091260C" w:rsidP="0091260C">
            <w:r>
              <w:t>FY 2014</w:t>
            </w:r>
          </w:p>
        </w:tc>
        <w:tc>
          <w:tcPr>
            <w:tcW w:w="728" w:type="dxa"/>
            <w:vAlign w:val="bottom"/>
          </w:tcPr>
          <w:p w14:paraId="534A12F1" w14:textId="42684C4C" w:rsidR="0091260C" w:rsidRDefault="0091260C" w:rsidP="0091260C">
            <w:pPr>
              <w:jc w:val="center"/>
            </w:pPr>
            <w:r>
              <w:rPr>
                <w:rFonts w:ascii="Calibri" w:hAnsi="Calibri" w:cs="Calibri"/>
                <w:color w:val="000000"/>
              </w:rPr>
              <w:t>0.94</w:t>
            </w:r>
          </w:p>
        </w:tc>
        <w:tc>
          <w:tcPr>
            <w:tcW w:w="728" w:type="dxa"/>
            <w:vAlign w:val="bottom"/>
          </w:tcPr>
          <w:p w14:paraId="5BC58C1A" w14:textId="64EE3774" w:rsidR="0091260C" w:rsidRDefault="0091260C" w:rsidP="0091260C">
            <w:pPr>
              <w:jc w:val="center"/>
            </w:pPr>
            <w:r>
              <w:rPr>
                <w:rFonts w:ascii="Calibri" w:hAnsi="Calibri" w:cs="Calibri"/>
                <w:color w:val="000000"/>
              </w:rPr>
              <w:t>0.89</w:t>
            </w:r>
          </w:p>
        </w:tc>
        <w:tc>
          <w:tcPr>
            <w:tcW w:w="729" w:type="dxa"/>
            <w:vAlign w:val="bottom"/>
          </w:tcPr>
          <w:p w14:paraId="449CB882" w14:textId="1D81F415" w:rsidR="0091260C" w:rsidRDefault="0091260C" w:rsidP="0091260C">
            <w:pPr>
              <w:jc w:val="center"/>
            </w:pPr>
            <w:r>
              <w:rPr>
                <w:rFonts w:ascii="Calibri" w:hAnsi="Calibri" w:cs="Calibri"/>
                <w:color w:val="000000"/>
              </w:rPr>
              <w:t>0.95</w:t>
            </w:r>
          </w:p>
        </w:tc>
        <w:tc>
          <w:tcPr>
            <w:tcW w:w="759" w:type="dxa"/>
            <w:vAlign w:val="bottom"/>
          </w:tcPr>
          <w:p w14:paraId="4B5F1EC1" w14:textId="76FAEF84" w:rsidR="0091260C" w:rsidRDefault="0091260C" w:rsidP="0091260C">
            <w:pPr>
              <w:jc w:val="center"/>
            </w:pPr>
            <w:r>
              <w:rPr>
                <w:rFonts w:ascii="Calibri" w:hAnsi="Calibri" w:cs="Calibri"/>
                <w:color w:val="000000"/>
              </w:rPr>
              <w:t>1.07</w:t>
            </w:r>
          </w:p>
        </w:tc>
        <w:tc>
          <w:tcPr>
            <w:tcW w:w="759" w:type="dxa"/>
            <w:vAlign w:val="bottom"/>
          </w:tcPr>
          <w:p w14:paraId="1B2BAF8D" w14:textId="4E4FEB74" w:rsidR="0091260C" w:rsidRDefault="0091260C" w:rsidP="0091260C">
            <w:pPr>
              <w:jc w:val="center"/>
            </w:pPr>
            <w:r>
              <w:rPr>
                <w:rFonts w:ascii="Calibri" w:hAnsi="Calibri" w:cs="Calibri"/>
                <w:color w:val="000000"/>
              </w:rPr>
              <w:t>0.94</w:t>
            </w:r>
          </w:p>
        </w:tc>
        <w:tc>
          <w:tcPr>
            <w:tcW w:w="728" w:type="dxa"/>
            <w:vAlign w:val="bottom"/>
          </w:tcPr>
          <w:p w14:paraId="75FA7B1A" w14:textId="44148205" w:rsidR="0091260C" w:rsidRDefault="0091260C" w:rsidP="0091260C">
            <w:pPr>
              <w:jc w:val="center"/>
            </w:pPr>
            <w:r>
              <w:rPr>
                <w:rFonts w:ascii="Calibri" w:hAnsi="Calibri" w:cs="Calibri"/>
                <w:color w:val="000000"/>
              </w:rPr>
              <w:t>0.94</w:t>
            </w:r>
          </w:p>
        </w:tc>
        <w:tc>
          <w:tcPr>
            <w:tcW w:w="729" w:type="dxa"/>
            <w:vAlign w:val="bottom"/>
          </w:tcPr>
          <w:p w14:paraId="25518E35" w14:textId="09A1688D" w:rsidR="0091260C" w:rsidRDefault="0091260C" w:rsidP="0091260C">
            <w:pPr>
              <w:jc w:val="center"/>
            </w:pPr>
            <w:r>
              <w:rPr>
                <w:rFonts w:ascii="Calibri" w:hAnsi="Calibri" w:cs="Calibri"/>
                <w:color w:val="000000"/>
              </w:rPr>
              <w:t>0.91</w:t>
            </w:r>
          </w:p>
        </w:tc>
        <w:tc>
          <w:tcPr>
            <w:tcW w:w="729" w:type="dxa"/>
            <w:vAlign w:val="bottom"/>
          </w:tcPr>
          <w:p w14:paraId="44C9412C" w14:textId="4F71B96B" w:rsidR="0091260C" w:rsidRDefault="0091260C" w:rsidP="0091260C">
            <w:pPr>
              <w:jc w:val="center"/>
            </w:pPr>
            <w:r>
              <w:rPr>
                <w:rFonts w:ascii="Calibri" w:hAnsi="Calibri" w:cs="Calibri"/>
                <w:color w:val="000000"/>
              </w:rPr>
              <w:t>0.95</w:t>
            </w:r>
          </w:p>
        </w:tc>
        <w:tc>
          <w:tcPr>
            <w:tcW w:w="755" w:type="dxa"/>
            <w:vAlign w:val="bottom"/>
          </w:tcPr>
          <w:p w14:paraId="77D61E7B" w14:textId="1ED18799" w:rsidR="0091260C" w:rsidRDefault="0091260C" w:rsidP="0091260C">
            <w:pPr>
              <w:jc w:val="center"/>
            </w:pPr>
            <w:r>
              <w:rPr>
                <w:rFonts w:ascii="Calibri" w:hAnsi="Calibri" w:cs="Calibri"/>
                <w:color w:val="000000"/>
              </w:rPr>
              <w:t>0.95</w:t>
            </w:r>
          </w:p>
        </w:tc>
        <w:tc>
          <w:tcPr>
            <w:tcW w:w="755" w:type="dxa"/>
            <w:vAlign w:val="bottom"/>
          </w:tcPr>
          <w:p w14:paraId="239F092F" w14:textId="13F38652"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6213B5A7" w14:textId="2110D5E8" w:rsidTr="00FF0DE7">
        <w:tc>
          <w:tcPr>
            <w:tcW w:w="962" w:type="dxa"/>
          </w:tcPr>
          <w:p w14:paraId="79866BD6" w14:textId="77777777" w:rsidR="0091260C" w:rsidRDefault="0091260C" w:rsidP="0091260C">
            <w:r>
              <w:t>FY 2015</w:t>
            </w:r>
          </w:p>
        </w:tc>
        <w:tc>
          <w:tcPr>
            <w:tcW w:w="728" w:type="dxa"/>
            <w:vAlign w:val="bottom"/>
          </w:tcPr>
          <w:p w14:paraId="34E3FBE3" w14:textId="5DB585E1" w:rsidR="0091260C" w:rsidRDefault="0091260C" w:rsidP="0091260C">
            <w:pPr>
              <w:jc w:val="center"/>
            </w:pPr>
            <w:r>
              <w:rPr>
                <w:rFonts w:ascii="Calibri" w:hAnsi="Calibri" w:cs="Calibri"/>
                <w:color w:val="000000"/>
              </w:rPr>
              <w:t>0.93</w:t>
            </w:r>
          </w:p>
        </w:tc>
        <w:tc>
          <w:tcPr>
            <w:tcW w:w="728" w:type="dxa"/>
            <w:vAlign w:val="bottom"/>
          </w:tcPr>
          <w:p w14:paraId="2942F2C8" w14:textId="3621DB40" w:rsidR="0091260C" w:rsidRDefault="0091260C" w:rsidP="0091260C">
            <w:pPr>
              <w:jc w:val="center"/>
            </w:pPr>
            <w:r>
              <w:rPr>
                <w:rFonts w:ascii="Calibri" w:hAnsi="Calibri" w:cs="Calibri"/>
                <w:color w:val="000000"/>
              </w:rPr>
              <w:t>0.89</w:t>
            </w:r>
          </w:p>
        </w:tc>
        <w:tc>
          <w:tcPr>
            <w:tcW w:w="729" w:type="dxa"/>
            <w:vAlign w:val="bottom"/>
          </w:tcPr>
          <w:p w14:paraId="0868A8CB" w14:textId="2855E5A7" w:rsidR="0091260C" w:rsidRDefault="0091260C" w:rsidP="0091260C">
            <w:pPr>
              <w:jc w:val="center"/>
            </w:pPr>
            <w:r>
              <w:rPr>
                <w:rFonts w:ascii="Calibri" w:hAnsi="Calibri" w:cs="Calibri"/>
                <w:color w:val="000000"/>
              </w:rPr>
              <w:t>0.93</w:t>
            </w:r>
          </w:p>
        </w:tc>
        <w:tc>
          <w:tcPr>
            <w:tcW w:w="759" w:type="dxa"/>
            <w:vAlign w:val="bottom"/>
          </w:tcPr>
          <w:p w14:paraId="322027D3" w14:textId="072BBF55" w:rsidR="0091260C" w:rsidRDefault="0091260C" w:rsidP="0091260C">
            <w:pPr>
              <w:jc w:val="center"/>
            </w:pPr>
            <w:r>
              <w:rPr>
                <w:rFonts w:ascii="Calibri" w:hAnsi="Calibri" w:cs="Calibri"/>
                <w:color w:val="000000"/>
              </w:rPr>
              <w:t>1.05</w:t>
            </w:r>
          </w:p>
        </w:tc>
        <w:tc>
          <w:tcPr>
            <w:tcW w:w="759" w:type="dxa"/>
            <w:vAlign w:val="bottom"/>
          </w:tcPr>
          <w:p w14:paraId="16A48659" w14:textId="2B34119E" w:rsidR="0091260C" w:rsidRDefault="0091260C" w:rsidP="0091260C">
            <w:pPr>
              <w:jc w:val="center"/>
            </w:pPr>
            <w:r>
              <w:rPr>
                <w:rFonts w:ascii="Calibri" w:hAnsi="Calibri" w:cs="Calibri"/>
                <w:color w:val="000000"/>
              </w:rPr>
              <w:t>0.91</w:t>
            </w:r>
          </w:p>
        </w:tc>
        <w:tc>
          <w:tcPr>
            <w:tcW w:w="728" w:type="dxa"/>
            <w:vAlign w:val="bottom"/>
          </w:tcPr>
          <w:p w14:paraId="40C2BCC1" w14:textId="6DFD3377" w:rsidR="0091260C" w:rsidRDefault="0091260C" w:rsidP="0091260C">
            <w:pPr>
              <w:jc w:val="center"/>
            </w:pPr>
            <w:r>
              <w:rPr>
                <w:rFonts w:ascii="Calibri" w:hAnsi="Calibri" w:cs="Calibri"/>
                <w:color w:val="000000"/>
              </w:rPr>
              <w:t>0.87</w:t>
            </w:r>
          </w:p>
        </w:tc>
        <w:tc>
          <w:tcPr>
            <w:tcW w:w="729" w:type="dxa"/>
            <w:vAlign w:val="bottom"/>
          </w:tcPr>
          <w:p w14:paraId="09D00957" w14:textId="5D7611CC" w:rsidR="0091260C" w:rsidRDefault="0091260C" w:rsidP="0091260C">
            <w:pPr>
              <w:jc w:val="center"/>
            </w:pPr>
            <w:r>
              <w:rPr>
                <w:rFonts w:ascii="Calibri" w:hAnsi="Calibri" w:cs="Calibri"/>
                <w:color w:val="000000"/>
              </w:rPr>
              <w:t>1.02</w:t>
            </w:r>
          </w:p>
        </w:tc>
        <w:tc>
          <w:tcPr>
            <w:tcW w:w="729" w:type="dxa"/>
            <w:vAlign w:val="bottom"/>
          </w:tcPr>
          <w:p w14:paraId="0D02FE30" w14:textId="2880C3C9" w:rsidR="0091260C" w:rsidRDefault="0091260C" w:rsidP="0091260C">
            <w:pPr>
              <w:jc w:val="center"/>
            </w:pPr>
            <w:r>
              <w:rPr>
                <w:rFonts w:ascii="Calibri" w:hAnsi="Calibri" w:cs="Calibri"/>
                <w:color w:val="000000"/>
              </w:rPr>
              <w:t>0.95</w:t>
            </w:r>
          </w:p>
        </w:tc>
        <w:tc>
          <w:tcPr>
            <w:tcW w:w="755" w:type="dxa"/>
            <w:vAlign w:val="bottom"/>
          </w:tcPr>
          <w:p w14:paraId="46DE3807" w14:textId="322339B1" w:rsidR="0091260C" w:rsidRDefault="0091260C" w:rsidP="0091260C">
            <w:pPr>
              <w:jc w:val="center"/>
            </w:pPr>
            <w:r>
              <w:rPr>
                <w:rFonts w:ascii="Calibri" w:hAnsi="Calibri" w:cs="Calibri"/>
                <w:color w:val="000000"/>
              </w:rPr>
              <w:t>0.94</w:t>
            </w:r>
          </w:p>
        </w:tc>
        <w:tc>
          <w:tcPr>
            <w:tcW w:w="755" w:type="dxa"/>
            <w:vAlign w:val="bottom"/>
          </w:tcPr>
          <w:p w14:paraId="1DEAF3E2" w14:textId="0074BED3"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575994E2" w14:textId="4EEA70CA" w:rsidTr="00FF0DE7">
        <w:tc>
          <w:tcPr>
            <w:tcW w:w="962" w:type="dxa"/>
          </w:tcPr>
          <w:p w14:paraId="292CB763" w14:textId="77777777" w:rsidR="0091260C" w:rsidRPr="002E444B" w:rsidRDefault="0091260C" w:rsidP="0091260C">
            <w:r w:rsidRPr="002E444B">
              <w:t>FY 2016</w:t>
            </w:r>
          </w:p>
        </w:tc>
        <w:tc>
          <w:tcPr>
            <w:tcW w:w="728" w:type="dxa"/>
            <w:vAlign w:val="bottom"/>
          </w:tcPr>
          <w:p w14:paraId="33842423" w14:textId="37488D25" w:rsidR="0091260C" w:rsidRPr="002E444B" w:rsidRDefault="0091260C" w:rsidP="0091260C">
            <w:pPr>
              <w:jc w:val="center"/>
            </w:pPr>
            <w:r>
              <w:rPr>
                <w:rFonts w:ascii="Calibri" w:hAnsi="Calibri" w:cs="Calibri"/>
                <w:color w:val="000000"/>
              </w:rPr>
              <w:t>0.95</w:t>
            </w:r>
          </w:p>
        </w:tc>
        <w:tc>
          <w:tcPr>
            <w:tcW w:w="728" w:type="dxa"/>
            <w:vAlign w:val="bottom"/>
          </w:tcPr>
          <w:p w14:paraId="6F6B1E04" w14:textId="57DC75EE" w:rsidR="0091260C" w:rsidRPr="002E444B" w:rsidRDefault="0091260C" w:rsidP="0091260C">
            <w:pPr>
              <w:jc w:val="center"/>
            </w:pPr>
            <w:r>
              <w:rPr>
                <w:rFonts w:ascii="Calibri" w:hAnsi="Calibri" w:cs="Calibri"/>
                <w:color w:val="000000"/>
              </w:rPr>
              <w:t>0.90</w:t>
            </w:r>
          </w:p>
        </w:tc>
        <w:tc>
          <w:tcPr>
            <w:tcW w:w="729" w:type="dxa"/>
            <w:vAlign w:val="bottom"/>
          </w:tcPr>
          <w:p w14:paraId="7B6B6E58" w14:textId="396A2567" w:rsidR="0091260C" w:rsidRPr="002E444B" w:rsidRDefault="0091260C" w:rsidP="0091260C">
            <w:pPr>
              <w:jc w:val="center"/>
            </w:pPr>
            <w:r>
              <w:rPr>
                <w:rFonts w:ascii="Calibri" w:hAnsi="Calibri" w:cs="Calibri"/>
                <w:color w:val="000000"/>
              </w:rPr>
              <w:t>0.93</w:t>
            </w:r>
          </w:p>
        </w:tc>
        <w:tc>
          <w:tcPr>
            <w:tcW w:w="759" w:type="dxa"/>
            <w:vAlign w:val="bottom"/>
          </w:tcPr>
          <w:p w14:paraId="63751F93" w14:textId="33B30976" w:rsidR="0091260C" w:rsidRPr="002E444B" w:rsidRDefault="0091260C" w:rsidP="0091260C">
            <w:pPr>
              <w:jc w:val="center"/>
            </w:pPr>
            <w:r>
              <w:rPr>
                <w:rFonts w:ascii="Calibri" w:hAnsi="Calibri" w:cs="Calibri"/>
                <w:color w:val="000000"/>
              </w:rPr>
              <w:t>1.04</w:t>
            </w:r>
          </w:p>
        </w:tc>
        <w:tc>
          <w:tcPr>
            <w:tcW w:w="759" w:type="dxa"/>
            <w:vAlign w:val="bottom"/>
          </w:tcPr>
          <w:p w14:paraId="1F49431D" w14:textId="76BB0C0C" w:rsidR="0091260C" w:rsidRPr="002E444B" w:rsidRDefault="0091260C" w:rsidP="0091260C">
            <w:pPr>
              <w:jc w:val="center"/>
            </w:pPr>
            <w:r>
              <w:rPr>
                <w:rFonts w:ascii="Calibri" w:hAnsi="Calibri" w:cs="Calibri"/>
                <w:color w:val="000000"/>
              </w:rPr>
              <w:t>0.91</w:t>
            </w:r>
          </w:p>
        </w:tc>
        <w:tc>
          <w:tcPr>
            <w:tcW w:w="728" w:type="dxa"/>
            <w:vAlign w:val="bottom"/>
          </w:tcPr>
          <w:p w14:paraId="58A07AE9" w14:textId="660FF33B" w:rsidR="0091260C" w:rsidRPr="002E444B" w:rsidRDefault="0091260C" w:rsidP="0091260C">
            <w:pPr>
              <w:jc w:val="center"/>
            </w:pPr>
            <w:r>
              <w:rPr>
                <w:rFonts w:ascii="Calibri" w:hAnsi="Calibri" w:cs="Calibri"/>
                <w:color w:val="000000"/>
              </w:rPr>
              <w:t>0.88</w:t>
            </w:r>
          </w:p>
        </w:tc>
        <w:tc>
          <w:tcPr>
            <w:tcW w:w="729" w:type="dxa"/>
            <w:vAlign w:val="bottom"/>
          </w:tcPr>
          <w:p w14:paraId="1F983282" w14:textId="62DA73A8" w:rsidR="0091260C" w:rsidRPr="002E444B" w:rsidRDefault="0091260C" w:rsidP="0091260C">
            <w:pPr>
              <w:jc w:val="center"/>
            </w:pPr>
            <w:r>
              <w:rPr>
                <w:rFonts w:ascii="Calibri" w:hAnsi="Calibri" w:cs="Calibri"/>
                <w:color w:val="000000"/>
              </w:rPr>
              <w:t>0.87</w:t>
            </w:r>
          </w:p>
        </w:tc>
        <w:tc>
          <w:tcPr>
            <w:tcW w:w="729" w:type="dxa"/>
            <w:vAlign w:val="bottom"/>
          </w:tcPr>
          <w:p w14:paraId="2CD6745A" w14:textId="4EE8EEB3" w:rsidR="0091260C" w:rsidRPr="002E444B" w:rsidRDefault="0091260C" w:rsidP="0091260C">
            <w:pPr>
              <w:jc w:val="center"/>
            </w:pPr>
            <w:r>
              <w:rPr>
                <w:rFonts w:ascii="Calibri" w:hAnsi="Calibri" w:cs="Calibri"/>
                <w:color w:val="000000"/>
              </w:rPr>
              <w:t>0.92</w:t>
            </w:r>
          </w:p>
        </w:tc>
        <w:tc>
          <w:tcPr>
            <w:tcW w:w="755" w:type="dxa"/>
            <w:vAlign w:val="bottom"/>
          </w:tcPr>
          <w:p w14:paraId="3A3A7358" w14:textId="5BCC63E7" w:rsidR="0091260C" w:rsidRPr="002E444B" w:rsidRDefault="0091260C" w:rsidP="0091260C">
            <w:pPr>
              <w:jc w:val="center"/>
            </w:pPr>
            <w:r>
              <w:rPr>
                <w:rFonts w:ascii="Calibri" w:hAnsi="Calibri" w:cs="Calibri"/>
                <w:color w:val="000000"/>
              </w:rPr>
              <w:t>0.93</w:t>
            </w:r>
          </w:p>
        </w:tc>
        <w:tc>
          <w:tcPr>
            <w:tcW w:w="755" w:type="dxa"/>
            <w:vAlign w:val="bottom"/>
          </w:tcPr>
          <w:p w14:paraId="12F5DEA9" w14:textId="19C95FA0" w:rsidR="0091260C" w:rsidRDefault="0091260C" w:rsidP="0091260C">
            <w:pPr>
              <w:jc w:val="center"/>
              <w:rPr>
                <w:rFonts w:ascii="Calibri" w:hAnsi="Calibri" w:cs="Calibri"/>
                <w:color w:val="000000"/>
              </w:rPr>
            </w:pPr>
            <w:r>
              <w:rPr>
                <w:rFonts w:ascii="Calibri" w:hAnsi="Calibri" w:cs="Calibri"/>
                <w:color w:val="000000"/>
              </w:rPr>
              <w:t>4.3</w:t>
            </w:r>
          </w:p>
        </w:tc>
      </w:tr>
      <w:tr w:rsidR="0091260C" w14:paraId="3E0E815A" w14:textId="5E42598F" w:rsidTr="00FF0DE7">
        <w:tc>
          <w:tcPr>
            <w:tcW w:w="962" w:type="dxa"/>
          </w:tcPr>
          <w:p w14:paraId="22B19412" w14:textId="77777777" w:rsidR="0091260C" w:rsidRDefault="0091260C" w:rsidP="0091260C">
            <w:r>
              <w:t>FY 2017</w:t>
            </w:r>
          </w:p>
        </w:tc>
        <w:tc>
          <w:tcPr>
            <w:tcW w:w="728" w:type="dxa"/>
            <w:vAlign w:val="bottom"/>
          </w:tcPr>
          <w:p w14:paraId="118A3495" w14:textId="60856D66" w:rsidR="0091260C" w:rsidRDefault="0091260C" w:rsidP="0091260C">
            <w:pPr>
              <w:jc w:val="center"/>
            </w:pPr>
            <w:r>
              <w:rPr>
                <w:rFonts w:ascii="Calibri" w:hAnsi="Calibri" w:cs="Calibri"/>
                <w:color w:val="000000"/>
              </w:rPr>
              <w:t>0.94</w:t>
            </w:r>
          </w:p>
        </w:tc>
        <w:tc>
          <w:tcPr>
            <w:tcW w:w="728" w:type="dxa"/>
            <w:vAlign w:val="bottom"/>
          </w:tcPr>
          <w:p w14:paraId="7E0FFAE3" w14:textId="43665B8C" w:rsidR="0091260C" w:rsidRDefault="0091260C" w:rsidP="0091260C">
            <w:pPr>
              <w:jc w:val="center"/>
            </w:pPr>
            <w:r>
              <w:rPr>
                <w:rFonts w:ascii="Calibri" w:hAnsi="Calibri" w:cs="Calibri"/>
                <w:color w:val="000000"/>
              </w:rPr>
              <w:t>0.92</w:t>
            </w:r>
          </w:p>
        </w:tc>
        <w:tc>
          <w:tcPr>
            <w:tcW w:w="729" w:type="dxa"/>
            <w:vAlign w:val="bottom"/>
          </w:tcPr>
          <w:p w14:paraId="4618D099" w14:textId="5CBE23FA" w:rsidR="0091260C" w:rsidRDefault="0091260C" w:rsidP="0091260C">
            <w:pPr>
              <w:jc w:val="center"/>
            </w:pPr>
            <w:r>
              <w:rPr>
                <w:rFonts w:ascii="Calibri" w:hAnsi="Calibri" w:cs="Calibri"/>
                <w:color w:val="000000"/>
              </w:rPr>
              <w:t>0.93</w:t>
            </w:r>
          </w:p>
        </w:tc>
        <w:tc>
          <w:tcPr>
            <w:tcW w:w="759" w:type="dxa"/>
            <w:vAlign w:val="bottom"/>
          </w:tcPr>
          <w:p w14:paraId="41075A6B" w14:textId="41A4791F" w:rsidR="0091260C" w:rsidRDefault="0091260C" w:rsidP="0091260C">
            <w:pPr>
              <w:jc w:val="center"/>
            </w:pPr>
            <w:r>
              <w:rPr>
                <w:rFonts w:ascii="Calibri" w:hAnsi="Calibri" w:cs="Calibri"/>
                <w:color w:val="000000"/>
              </w:rPr>
              <w:t>1.02</w:t>
            </w:r>
          </w:p>
        </w:tc>
        <w:tc>
          <w:tcPr>
            <w:tcW w:w="759" w:type="dxa"/>
            <w:vAlign w:val="bottom"/>
          </w:tcPr>
          <w:p w14:paraId="522496BB" w14:textId="44E97BB5" w:rsidR="0091260C" w:rsidRDefault="0091260C" w:rsidP="0091260C">
            <w:pPr>
              <w:jc w:val="center"/>
            </w:pPr>
            <w:r>
              <w:rPr>
                <w:rFonts w:ascii="Calibri" w:hAnsi="Calibri" w:cs="Calibri"/>
                <w:color w:val="000000"/>
              </w:rPr>
              <w:t>0.94</w:t>
            </w:r>
          </w:p>
        </w:tc>
        <w:tc>
          <w:tcPr>
            <w:tcW w:w="728" w:type="dxa"/>
            <w:vAlign w:val="bottom"/>
          </w:tcPr>
          <w:p w14:paraId="60B7784C" w14:textId="2815DD03" w:rsidR="0091260C" w:rsidRDefault="0091260C" w:rsidP="0091260C">
            <w:pPr>
              <w:jc w:val="center"/>
            </w:pPr>
            <w:r>
              <w:rPr>
                <w:rFonts w:ascii="Calibri" w:hAnsi="Calibri" w:cs="Calibri"/>
                <w:color w:val="000000"/>
              </w:rPr>
              <w:t>0.87</w:t>
            </w:r>
          </w:p>
        </w:tc>
        <w:tc>
          <w:tcPr>
            <w:tcW w:w="729" w:type="dxa"/>
            <w:vAlign w:val="bottom"/>
          </w:tcPr>
          <w:p w14:paraId="798ED8D1" w14:textId="6747ACA6" w:rsidR="0091260C" w:rsidRDefault="0091260C" w:rsidP="0091260C">
            <w:pPr>
              <w:jc w:val="center"/>
            </w:pPr>
            <w:r>
              <w:rPr>
                <w:rFonts w:ascii="Calibri" w:hAnsi="Calibri" w:cs="Calibri"/>
                <w:color w:val="000000"/>
              </w:rPr>
              <w:t>0.89</w:t>
            </w:r>
          </w:p>
        </w:tc>
        <w:tc>
          <w:tcPr>
            <w:tcW w:w="729" w:type="dxa"/>
            <w:vAlign w:val="bottom"/>
          </w:tcPr>
          <w:p w14:paraId="7820C8A0" w14:textId="6BB280EA" w:rsidR="0091260C" w:rsidRDefault="0091260C" w:rsidP="0091260C">
            <w:pPr>
              <w:jc w:val="center"/>
            </w:pPr>
            <w:r>
              <w:rPr>
                <w:rFonts w:ascii="Calibri" w:hAnsi="Calibri" w:cs="Calibri"/>
                <w:color w:val="000000"/>
              </w:rPr>
              <w:t>0.89</w:t>
            </w:r>
          </w:p>
        </w:tc>
        <w:tc>
          <w:tcPr>
            <w:tcW w:w="755" w:type="dxa"/>
            <w:vAlign w:val="bottom"/>
          </w:tcPr>
          <w:p w14:paraId="1CBDA853" w14:textId="73B22DA4" w:rsidR="0091260C" w:rsidRDefault="0091260C" w:rsidP="0091260C">
            <w:pPr>
              <w:jc w:val="center"/>
            </w:pPr>
            <w:r>
              <w:rPr>
                <w:rFonts w:ascii="Calibri" w:hAnsi="Calibri" w:cs="Calibri"/>
                <w:color w:val="000000"/>
              </w:rPr>
              <w:t>0.93</w:t>
            </w:r>
          </w:p>
        </w:tc>
        <w:tc>
          <w:tcPr>
            <w:tcW w:w="755" w:type="dxa"/>
            <w:vAlign w:val="bottom"/>
          </w:tcPr>
          <w:p w14:paraId="3272991E" w14:textId="5D662EBA" w:rsidR="0091260C" w:rsidRDefault="0091260C" w:rsidP="0091260C">
            <w:pPr>
              <w:jc w:val="center"/>
              <w:rPr>
                <w:rFonts w:ascii="Calibri" w:hAnsi="Calibri" w:cs="Calibri"/>
                <w:color w:val="000000"/>
              </w:rPr>
            </w:pPr>
            <w:r>
              <w:rPr>
                <w:rFonts w:ascii="Calibri" w:hAnsi="Calibri" w:cs="Calibri"/>
                <w:color w:val="000000"/>
              </w:rPr>
              <w:t>4.3</w:t>
            </w:r>
          </w:p>
        </w:tc>
      </w:tr>
      <w:tr w:rsidR="0091260C" w14:paraId="43C1BE36" w14:textId="6DCAC19C" w:rsidTr="00FF0DE7">
        <w:tc>
          <w:tcPr>
            <w:tcW w:w="962" w:type="dxa"/>
          </w:tcPr>
          <w:p w14:paraId="4D853EFF" w14:textId="77777777" w:rsidR="0091260C" w:rsidRDefault="0091260C" w:rsidP="0091260C">
            <w:r>
              <w:t>FY 2018</w:t>
            </w:r>
          </w:p>
        </w:tc>
        <w:tc>
          <w:tcPr>
            <w:tcW w:w="728" w:type="dxa"/>
            <w:vAlign w:val="bottom"/>
          </w:tcPr>
          <w:p w14:paraId="0BCEACA8" w14:textId="7DEA4732" w:rsidR="0091260C" w:rsidRDefault="0091260C" w:rsidP="0091260C">
            <w:pPr>
              <w:jc w:val="center"/>
            </w:pPr>
            <w:r>
              <w:rPr>
                <w:rFonts w:ascii="Calibri" w:hAnsi="Calibri" w:cs="Calibri"/>
                <w:color w:val="000000"/>
              </w:rPr>
              <w:t>0.94</w:t>
            </w:r>
          </w:p>
        </w:tc>
        <w:tc>
          <w:tcPr>
            <w:tcW w:w="728" w:type="dxa"/>
            <w:vAlign w:val="bottom"/>
          </w:tcPr>
          <w:p w14:paraId="12C271B7" w14:textId="45E8AC23" w:rsidR="0091260C" w:rsidRDefault="0091260C" w:rsidP="0091260C">
            <w:pPr>
              <w:jc w:val="center"/>
            </w:pPr>
            <w:r>
              <w:rPr>
                <w:rFonts w:ascii="Calibri" w:hAnsi="Calibri" w:cs="Calibri"/>
                <w:color w:val="000000"/>
              </w:rPr>
              <w:t>0.90</w:t>
            </w:r>
          </w:p>
        </w:tc>
        <w:tc>
          <w:tcPr>
            <w:tcW w:w="729" w:type="dxa"/>
            <w:vAlign w:val="bottom"/>
          </w:tcPr>
          <w:p w14:paraId="4891344D" w14:textId="20516D5A" w:rsidR="0091260C" w:rsidRDefault="0091260C" w:rsidP="0091260C">
            <w:pPr>
              <w:jc w:val="center"/>
            </w:pPr>
            <w:r>
              <w:rPr>
                <w:rFonts w:ascii="Calibri" w:hAnsi="Calibri" w:cs="Calibri"/>
                <w:color w:val="000000"/>
              </w:rPr>
              <w:t>0.97</w:t>
            </w:r>
          </w:p>
        </w:tc>
        <w:tc>
          <w:tcPr>
            <w:tcW w:w="759" w:type="dxa"/>
            <w:vAlign w:val="bottom"/>
          </w:tcPr>
          <w:p w14:paraId="05903801" w14:textId="2B939B51" w:rsidR="0091260C" w:rsidRDefault="0091260C" w:rsidP="0091260C">
            <w:pPr>
              <w:jc w:val="center"/>
            </w:pPr>
            <w:r>
              <w:rPr>
                <w:rFonts w:ascii="Calibri" w:hAnsi="Calibri" w:cs="Calibri"/>
                <w:color w:val="000000"/>
              </w:rPr>
              <w:t>1.06</w:t>
            </w:r>
          </w:p>
        </w:tc>
        <w:tc>
          <w:tcPr>
            <w:tcW w:w="759" w:type="dxa"/>
            <w:vAlign w:val="bottom"/>
          </w:tcPr>
          <w:p w14:paraId="08C14387" w14:textId="7A46C9D3" w:rsidR="0091260C" w:rsidRDefault="0091260C" w:rsidP="0091260C">
            <w:pPr>
              <w:jc w:val="center"/>
            </w:pPr>
            <w:r>
              <w:rPr>
                <w:rFonts w:ascii="Calibri" w:hAnsi="Calibri" w:cs="Calibri"/>
                <w:color w:val="000000"/>
              </w:rPr>
              <w:t>0.95</w:t>
            </w:r>
          </w:p>
        </w:tc>
        <w:tc>
          <w:tcPr>
            <w:tcW w:w="728" w:type="dxa"/>
            <w:vAlign w:val="bottom"/>
          </w:tcPr>
          <w:p w14:paraId="79483841" w14:textId="554894DF" w:rsidR="0091260C" w:rsidRDefault="0091260C" w:rsidP="0091260C">
            <w:pPr>
              <w:jc w:val="center"/>
            </w:pPr>
            <w:r>
              <w:rPr>
                <w:rFonts w:ascii="Calibri" w:hAnsi="Calibri" w:cs="Calibri"/>
                <w:color w:val="000000"/>
              </w:rPr>
              <w:t>0.88</w:t>
            </w:r>
          </w:p>
        </w:tc>
        <w:tc>
          <w:tcPr>
            <w:tcW w:w="729" w:type="dxa"/>
            <w:vAlign w:val="bottom"/>
          </w:tcPr>
          <w:p w14:paraId="62A307E1" w14:textId="541D1949" w:rsidR="0091260C" w:rsidRDefault="0091260C" w:rsidP="0091260C">
            <w:pPr>
              <w:jc w:val="center"/>
            </w:pPr>
            <w:r>
              <w:rPr>
                <w:rFonts w:ascii="Calibri" w:hAnsi="Calibri" w:cs="Calibri"/>
                <w:color w:val="000000"/>
              </w:rPr>
              <w:t>0.88</w:t>
            </w:r>
          </w:p>
        </w:tc>
        <w:tc>
          <w:tcPr>
            <w:tcW w:w="729" w:type="dxa"/>
            <w:vAlign w:val="bottom"/>
          </w:tcPr>
          <w:p w14:paraId="23721CBB" w14:textId="26CF4C31" w:rsidR="0091260C" w:rsidRDefault="0091260C" w:rsidP="0091260C">
            <w:pPr>
              <w:jc w:val="center"/>
            </w:pPr>
            <w:r>
              <w:rPr>
                <w:rFonts w:ascii="Calibri" w:hAnsi="Calibri" w:cs="Calibri"/>
                <w:color w:val="000000"/>
              </w:rPr>
              <w:t>0.94</w:t>
            </w:r>
          </w:p>
        </w:tc>
        <w:tc>
          <w:tcPr>
            <w:tcW w:w="755" w:type="dxa"/>
            <w:vAlign w:val="bottom"/>
          </w:tcPr>
          <w:p w14:paraId="6BC4EB2D" w14:textId="26E5322B" w:rsidR="0091260C" w:rsidRDefault="0091260C" w:rsidP="0091260C">
            <w:pPr>
              <w:jc w:val="center"/>
            </w:pPr>
            <w:r>
              <w:rPr>
                <w:rFonts w:ascii="Calibri" w:hAnsi="Calibri" w:cs="Calibri"/>
                <w:color w:val="000000"/>
              </w:rPr>
              <w:t>0.93</w:t>
            </w:r>
          </w:p>
        </w:tc>
        <w:tc>
          <w:tcPr>
            <w:tcW w:w="755" w:type="dxa"/>
            <w:vAlign w:val="bottom"/>
          </w:tcPr>
          <w:p w14:paraId="16725C89" w14:textId="341B845A"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4C63D559" w14:textId="19461A87" w:rsidTr="00FF0DE7">
        <w:tc>
          <w:tcPr>
            <w:tcW w:w="962" w:type="dxa"/>
          </w:tcPr>
          <w:p w14:paraId="7AAAE997" w14:textId="77777777" w:rsidR="0091260C" w:rsidRDefault="0091260C" w:rsidP="0091260C">
            <w:r>
              <w:t>FY 2019</w:t>
            </w:r>
          </w:p>
        </w:tc>
        <w:tc>
          <w:tcPr>
            <w:tcW w:w="728" w:type="dxa"/>
            <w:vAlign w:val="bottom"/>
          </w:tcPr>
          <w:p w14:paraId="09D04D1B" w14:textId="596F2093" w:rsidR="0091260C" w:rsidRDefault="0091260C" w:rsidP="0091260C">
            <w:pPr>
              <w:jc w:val="center"/>
            </w:pPr>
            <w:r>
              <w:rPr>
                <w:rFonts w:ascii="Calibri" w:hAnsi="Calibri" w:cs="Calibri"/>
                <w:color w:val="000000"/>
              </w:rPr>
              <w:t>0.96</w:t>
            </w:r>
          </w:p>
        </w:tc>
        <w:tc>
          <w:tcPr>
            <w:tcW w:w="728" w:type="dxa"/>
            <w:vAlign w:val="bottom"/>
          </w:tcPr>
          <w:p w14:paraId="172AB30B" w14:textId="4B74863E" w:rsidR="0091260C" w:rsidRDefault="0091260C" w:rsidP="0091260C">
            <w:pPr>
              <w:jc w:val="center"/>
            </w:pPr>
            <w:r>
              <w:rPr>
                <w:rFonts w:ascii="Calibri" w:hAnsi="Calibri" w:cs="Calibri"/>
                <w:color w:val="000000"/>
              </w:rPr>
              <w:t>0.91</w:t>
            </w:r>
          </w:p>
        </w:tc>
        <w:tc>
          <w:tcPr>
            <w:tcW w:w="729" w:type="dxa"/>
            <w:vAlign w:val="bottom"/>
          </w:tcPr>
          <w:p w14:paraId="5C23633E" w14:textId="78FAA1B3" w:rsidR="0091260C" w:rsidRDefault="0091260C" w:rsidP="0091260C">
            <w:pPr>
              <w:jc w:val="center"/>
            </w:pPr>
            <w:r>
              <w:rPr>
                <w:rFonts w:ascii="Calibri" w:hAnsi="Calibri" w:cs="Calibri"/>
                <w:color w:val="000000"/>
              </w:rPr>
              <w:t>0.99</w:t>
            </w:r>
          </w:p>
        </w:tc>
        <w:tc>
          <w:tcPr>
            <w:tcW w:w="759" w:type="dxa"/>
            <w:vAlign w:val="bottom"/>
          </w:tcPr>
          <w:p w14:paraId="54A32ED8" w14:textId="03711C9F" w:rsidR="0091260C" w:rsidRDefault="0091260C" w:rsidP="0091260C">
            <w:pPr>
              <w:jc w:val="center"/>
            </w:pPr>
            <w:r>
              <w:rPr>
                <w:rFonts w:ascii="Calibri" w:hAnsi="Calibri" w:cs="Calibri"/>
                <w:color w:val="000000"/>
              </w:rPr>
              <w:t>1.06</w:t>
            </w:r>
          </w:p>
        </w:tc>
        <w:tc>
          <w:tcPr>
            <w:tcW w:w="759" w:type="dxa"/>
            <w:vAlign w:val="bottom"/>
          </w:tcPr>
          <w:p w14:paraId="1348EED6" w14:textId="7A987715" w:rsidR="0091260C" w:rsidRDefault="0091260C" w:rsidP="0091260C">
            <w:pPr>
              <w:jc w:val="center"/>
            </w:pPr>
            <w:r>
              <w:rPr>
                <w:rFonts w:ascii="Calibri" w:hAnsi="Calibri" w:cs="Calibri"/>
                <w:color w:val="000000"/>
              </w:rPr>
              <w:t>0.98</w:t>
            </w:r>
          </w:p>
        </w:tc>
        <w:tc>
          <w:tcPr>
            <w:tcW w:w="728" w:type="dxa"/>
            <w:vAlign w:val="bottom"/>
          </w:tcPr>
          <w:p w14:paraId="6FFF3D77" w14:textId="6EEACAC7" w:rsidR="0091260C" w:rsidRDefault="0091260C" w:rsidP="0091260C">
            <w:pPr>
              <w:jc w:val="center"/>
            </w:pPr>
            <w:r>
              <w:rPr>
                <w:rFonts w:ascii="Calibri" w:hAnsi="Calibri" w:cs="Calibri"/>
                <w:color w:val="000000"/>
              </w:rPr>
              <w:t>0.88</w:t>
            </w:r>
          </w:p>
        </w:tc>
        <w:tc>
          <w:tcPr>
            <w:tcW w:w="729" w:type="dxa"/>
            <w:vAlign w:val="bottom"/>
          </w:tcPr>
          <w:p w14:paraId="2DE5E123" w14:textId="76357666" w:rsidR="0091260C" w:rsidRDefault="0091260C" w:rsidP="0091260C">
            <w:pPr>
              <w:jc w:val="center"/>
            </w:pPr>
            <w:r>
              <w:rPr>
                <w:rFonts w:ascii="Calibri" w:hAnsi="Calibri" w:cs="Calibri"/>
                <w:color w:val="000000"/>
              </w:rPr>
              <w:t>0.84</w:t>
            </w:r>
          </w:p>
        </w:tc>
        <w:tc>
          <w:tcPr>
            <w:tcW w:w="729" w:type="dxa"/>
            <w:vAlign w:val="bottom"/>
          </w:tcPr>
          <w:p w14:paraId="66FACC8F" w14:textId="774E17B0" w:rsidR="0091260C" w:rsidRDefault="0091260C" w:rsidP="0091260C">
            <w:pPr>
              <w:jc w:val="center"/>
            </w:pPr>
            <w:r>
              <w:rPr>
                <w:rFonts w:ascii="Calibri" w:hAnsi="Calibri" w:cs="Calibri"/>
                <w:color w:val="000000"/>
              </w:rPr>
              <w:t>0.92</w:t>
            </w:r>
          </w:p>
        </w:tc>
        <w:tc>
          <w:tcPr>
            <w:tcW w:w="755" w:type="dxa"/>
            <w:vAlign w:val="bottom"/>
          </w:tcPr>
          <w:p w14:paraId="3E8689C7" w14:textId="4947CFBA" w:rsidR="0091260C" w:rsidRDefault="0091260C" w:rsidP="0091260C">
            <w:pPr>
              <w:jc w:val="center"/>
            </w:pPr>
            <w:r>
              <w:rPr>
                <w:rFonts w:ascii="Calibri" w:hAnsi="Calibri" w:cs="Calibri"/>
                <w:color w:val="000000"/>
              </w:rPr>
              <w:t>0.95</w:t>
            </w:r>
          </w:p>
        </w:tc>
        <w:tc>
          <w:tcPr>
            <w:tcW w:w="755" w:type="dxa"/>
            <w:vAlign w:val="bottom"/>
          </w:tcPr>
          <w:p w14:paraId="317473C7" w14:textId="1EB14CB6" w:rsidR="0091260C" w:rsidRDefault="0091260C" w:rsidP="0091260C">
            <w:pPr>
              <w:jc w:val="center"/>
              <w:rPr>
                <w:rFonts w:ascii="Calibri" w:hAnsi="Calibri" w:cs="Calibri"/>
                <w:color w:val="000000"/>
              </w:rPr>
            </w:pPr>
            <w:r>
              <w:rPr>
                <w:rFonts w:ascii="Calibri" w:hAnsi="Calibri" w:cs="Calibri"/>
                <w:color w:val="000000"/>
              </w:rPr>
              <w:t>4.4</w:t>
            </w:r>
          </w:p>
        </w:tc>
      </w:tr>
      <w:tr w:rsidR="0091260C" w14:paraId="0295B28B" w14:textId="52168A4F" w:rsidTr="00FF0DE7">
        <w:tc>
          <w:tcPr>
            <w:tcW w:w="962" w:type="dxa"/>
          </w:tcPr>
          <w:p w14:paraId="2CFC94C5" w14:textId="77777777" w:rsidR="0091260C" w:rsidRDefault="0091260C" w:rsidP="0091260C">
            <w:r>
              <w:t>FY 2020</w:t>
            </w:r>
          </w:p>
        </w:tc>
        <w:tc>
          <w:tcPr>
            <w:tcW w:w="728" w:type="dxa"/>
            <w:vAlign w:val="bottom"/>
          </w:tcPr>
          <w:p w14:paraId="70E41072" w14:textId="026CEB80" w:rsidR="0091260C" w:rsidRPr="00293413" w:rsidRDefault="0091260C" w:rsidP="0091260C">
            <w:pPr>
              <w:jc w:val="center"/>
            </w:pPr>
            <w:r>
              <w:rPr>
                <w:rFonts w:ascii="Calibri" w:hAnsi="Calibri" w:cs="Calibri"/>
                <w:color w:val="000000"/>
              </w:rPr>
              <w:t>0.93</w:t>
            </w:r>
          </w:p>
        </w:tc>
        <w:tc>
          <w:tcPr>
            <w:tcW w:w="728" w:type="dxa"/>
            <w:vAlign w:val="bottom"/>
          </w:tcPr>
          <w:p w14:paraId="7857DF2B" w14:textId="5966CF04" w:rsidR="0091260C" w:rsidRPr="00293413" w:rsidRDefault="0091260C" w:rsidP="0091260C">
            <w:pPr>
              <w:jc w:val="center"/>
            </w:pPr>
            <w:r>
              <w:rPr>
                <w:rFonts w:ascii="Calibri" w:hAnsi="Calibri" w:cs="Calibri"/>
                <w:color w:val="000000"/>
              </w:rPr>
              <w:t>0.88</w:t>
            </w:r>
          </w:p>
        </w:tc>
        <w:tc>
          <w:tcPr>
            <w:tcW w:w="729" w:type="dxa"/>
            <w:vAlign w:val="bottom"/>
          </w:tcPr>
          <w:p w14:paraId="5E197B44" w14:textId="7A0B00B9" w:rsidR="0091260C" w:rsidRPr="00293413" w:rsidRDefault="0091260C" w:rsidP="0091260C">
            <w:pPr>
              <w:jc w:val="center"/>
            </w:pPr>
            <w:r>
              <w:rPr>
                <w:rFonts w:ascii="Calibri" w:hAnsi="Calibri" w:cs="Calibri"/>
                <w:color w:val="000000"/>
              </w:rPr>
              <w:t>0.95</w:t>
            </w:r>
          </w:p>
        </w:tc>
        <w:tc>
          <w:tcPr>
            <w:tcW w:w="759" w:type="dxa"/>
            <w:vAlign w:val="bottom"/>
          </w:tcPr>
          <w:p w14:paraId="129AC948" w14:textId="73885F57" w:rsidR="0091260C" w:rsidRPr="00293413" w:rsidRDefault="0091260C" w:rsidP="0091260C">
            <w:pPr>
              <w:jc w:val="center"/>
            </w:pPr>
            <w:r>
              <w:rPr>
                <w:rFonts w:ascii="Calibri" w:hAnsi="Calibri" w:cs="Calibri"/>
                <w:color w:val="000000"/>
              </w:rPr>
              <w:t>1.04</w:t>
            </w:r>
          </w:p>
        </w:tc>
        <w:tc>
          <w:tcPr>
            <w:tcW w:w="759" w:type="dxa"/>
            <w:vAlign w:val="bottom"/>
          </w:tcPr>
          <w:p w14:paraId="57288002" w14:textId="150A6016" w:rsidR="0091260C" w:rsidRPr="00293413" w:rsidRDefault="0091260C" w:rsidP="0091260C">
            <w:pPr>
              <w:jc w:val="center"/>
            </w:pPr>
            <w:r>
              <w:rPr>
                <w:rFonts w:ascii="Calibri" w:hAnsi="Calibri" w:cs="Calibri"/>
                <w:color w:val="000000"/>
              </w:rPr>
              <w:t>0.96</w:t>
            </w:r>
          </w:p>
        </w:tc>
        <w:tc>
          <w:tcPr>
            <w:tcW w:w="728" w:type="dxa"/>
            <w:vAlign w:val="bottom"/>
          </w:tcPr>
          <w:p w14:paraId="47C3B70D" w14:textId="1EF5E2F3" w:rsidR="0091260C" w:rsidRPr="00293413" w:rsidRDefault="0091260C" w:rsidP="0091260C">
            <w:pPr>
              <w:jc w:val="center"/>
            </w:pPr>
            <w:r>
              <w:rPr>
                <w:rFonts w:ascii="Calibri" w:hAnsi="Calibri" w:cs="Calibri"/>
                <w:color w:val="000000"/>
              </w:rPr>
              <w:t>0.89</w:t>
            </w:r>
          </w:p>
        </w:tc>
        <w:tc>
          <w:tcPr>
            <w:tcW w:w="729" w:type="dxa"/>
            <w:vAlign w:val="bottom"/>
          </w:tcPr>
          <w:p w14:paraId="3A523DE6" w14:textId="3AC79DD4" w:rsidR="0091260C" w:rsidRPr="00293413" w:rsidRDefault="0091260C" w:rsidP="0091260C">
            <w:pPr>
              <w:jc w:val="center"/>
            </w:pPr>
            <w:r>
              <w:rPr>
                <w:rFonts w:ascii="Calibri" w:hAnsi="Calibri" w:cs="Calibri"/>
                <w:color w:val="000000"/>
              </w:rPr>
              <w:t>0.85</w:t>
            </w:r>
          </w:p>
        </w:tc>
        <w:tc>
          <w:tcPr>
            <w:tcW w:w="729" w:type="dxa"/>
            <w:vAlign w:val="bottom"/>
          </w:tcPr>
          <w:p w14:paraId="001D61AC" w14:textId="437FE276" w:rsidR="0091260C" w:rsidRPr="00293413" w:rsidRDefault="0091260C" w:rsidP="0091260C">
            <w:pPr>
              <w:jc w:val="center"/>
            </w:pPr>
            <w:r>
              <w:rPr>
                <w:rFonts w:ascii="Calibri" w:hAnsi="Calibri" w:cs="Calibri"/>
                <w:color w:val="000000"/>
              </w:rPr>
              <w:t>0.94</w:t>
            </w:r>
          </w:p>
        </w:tc>
        <w:tc>
          <w:tcPr>
            <w:tcW w:w="755" w:type="dxa"/>
            <w:vAlign w:val="bottom"/>
          </w:tcPr>
          <w:p w14:paraId="0238B10B" w14:textId="05EB1D55" w:rsidR="0091260C" w:rsidRPr="00293413" w:rsidRDefault="0091260C" w:rsidP="0091260C">
            <w:pPr>
              <w:jc w:val="center"/>
            </w:pPr>
            <w:r>
              <w:rPr>
                <w:rFonts w:ascii="Calibri" w:hAnsi="Calibri" w:cs="Calibri"/>
                <w:color w:val="000000"/>
              </w:rPr>
              <w:t>0.93</w:t>
            </w:r>
          </w:p>
        </w:tc>
        <w:tc>
          <w:tcPr>
            <w:tcW w:w="755" w:type="dxa"/>
            <w:vAlign w:val="bottom"/>
          </w:tcPr>
          <w:p w14:paraId="45C4D41D" w14:textId="12D897B2" w:rsidR="0091260C" w:rsidRDefault="0091260C" w:rsidP="0091260C">
            <w:pPr>
              <w:jc w:val="center"/>
              <w:rPr>
                <w:rFonts w:ascii="Calibri" w:hAnsi="Calibri" w:cs="Calibri"/>
                <w:color w:val="000000"/>
              </w:rPr>
            </w:pPr>
            <w:r>
              <w:rPr>
                <w:rFonts w:ascii="Calibri" w:hAnsi="Calibri" w:cs="Calibri"/>
                <w:color w:val="000000"/>
              </w:rPr>
              <w:t>4.3</w:t>
            </w:r>
          </w:p>
        </w:tc>
      </w:tr>
      <w:tr w:rsidR="0091260C" w14:paraId="1A5DCF72" w14:textId="3C81BC8E" w:rsidTr="00FF0DE7">
        <w:tc>
          <w:tcPr>
            <w:tcW w:w="962" w:type="dxa"/>
          </w:tcPr>
          <w:p w14:paraId="43EF42E8" w14:textId="77777777" w:rsidR="0091260C" w:rsidRDefault="0091260C" w:rsidP="0091260C">
            <w:r>
              <w:t>FY 2021</w:t>
            </w:r>
          </w:p>
        </w:tc>
        <w:tc>
          <w:tcPr>
            <w:tcW w:w="728" w:type="dxa"/>
            <w:vAlign w:val="bottom"/>
          </w:tcPr>
          <w:p w14:paraId="4CE691E7" w14:textId="1895F73D" w:rsidR="0091260C" w:rsidRPr="00293413" w:rsidRDefault="0091260C" w:rsidP="0091260C">
            <w:pPr>
              <w:jc w:val="center"/>
            </w:pPr>
            <w:r>
              <w:rPr>
                <w:rFonts w:ascii="Calibri" w:hAnsi="Calibri" w:cs="Calibri"/>
                <w:color w:val="000000"/>
              </w:rPr>
              <w:t>0.91</w:t>
            </w:r>
          </w:p>
        </w:tc>
        <w:tc>
          <w:tcPr>
            <w:tcW w:w="728" w:type="dxa"/>
            <w:vAlign w:val="bottom"/>
          </w:tcPr>
          <w:p w14:paraId="447830AC" w14:textId="01B2FF61" w:rsidR="0091260C" w:rsidRPr="00293413" w:rsidRDefault="0091260C" w:rsidP="0091260C">
            <w:pPr>
              <w:jc w:val="center"/>
            </w:pPr>
            <w:r>
              <w:rPr>
                <w:rFonts w:ascii="Calibri" w:hAnsi="Calibri" w:cs="Calibri"/>
                <w:color w:val="000000"/>
              </w:rPr>
              <w:t>0.88</w:t>
            </w:r>
          </w:p>
        </w:tc>
        <w:tc>
          <w:tcPr>
            <w:tcW w:w="729" w:type="dxa"/>
            <w:vAlign w:val="bottom"/>
          </w:tcPr>
          <w:p w14:paraId="51F00396" w14:textId="38EB01E0" w:rsidR="0091260C" w:rsidRPr="00293413" w:rsidRDefault="0091260C" w:rsidP="0091260C">
            <w:pPr>
              <w:jc w:val="center"/>
            </w:pPr>
            <w:r>
              <w:rPr>
                <w:rFonts w:ascii="Calibri" w:hAnsi="Calibri" w:cs="Calibri"/>
                <w:color w:val="000000"/>
              </w:rPr>
              <w:t>0.92</w:t>
            </w:r>
          </w:p>
        </w:tc>
        <w:tc>
          <w:tcPr>
            <w:tcW w:w="759" w:type="dxa"/>
            <w:vAlign w:val="bottom"/>
          </w:tcPr>
          <w:p w14:paraId="7FC667CE" w14:textId="4CBBC72C" w:rsidR="0091260C" w:rsidRPr="00293413" w:rsidRDefault="0091260C" w:rsidP="0091260C">
            <w:pPr>
              <w:jc w:val="center"/>
            </w:pPr>
            <w:r>
              <w:rPr>
                <w:rFonts w:ascii="Calibri" w:hAnsi="Calibri" w:cs="Calibri"/>
                <w:color w:val="000000"/>
              </w:rPr>
              <w:t>1.01</w:t>
            </w:r>
          </w:p>
        </w:tc>
        <w:tc>
          <w:tcPr>
            <w:tcW w:w="759" w:type="dxa"/>
            <w:vAlign w:val="bottom"/>
          </w:tcPr>
          <w:p w14:paraId="798953A0" w14:textId="2DAA8458" w:rsidR="0091260C" w:rsidRPr="00293413" w:rsidRDefault="0091260C" w:rsidP="0091260C">
            <w:pPr>
              <w:jc w:val="center"/>
            </w:pPr>
            <w:r>
              <w:rPr>
                <w:rFonts w:ascii="Calibri" w:hAnsi="Calibri" w:cs="Calibri"/>
                <w:color w:val="000000"/>
              </w:rPr>
              <w:t>0.93</w:t>
            </w:r>
          </w:p>
        </w:tc>
        <w:tc>
          <w:tcPr>
            <w:tcW w:w="728" w:type="dxa"/>
            <w:vAlign w:val="bottom"/>
          </w:tcPr>
          <w:p w14:paraId="245A22D4" w14:textId="09475727" w:rsidR="0091260C" w:rsidRPr="00293413" w:rsidRDefault="0091260C" w:rsidP="0091260C">
            <w:pPr>
              <w:jc w:val="center"/>
            </w:pPr>
            <w:r>
              <w:rPr>
                <w:rFonts w:ascii="Calibri" w:hAnsi="Calibri" w:cs="Calibri"/>
                <w:color w:val="000000"/>
              </w:rPr>
              <w:t>0.85</w:t>
            </w:r>
          </w:p>
        </w:tc>
        <w:tc>
          <w:tcPr>
            <w:tcW w:w="729" w:type="dxa"/>
            <w:vAlign w:val="bottom"/>
          </w:tcPr>
          <w:p w14:paraId="30F6E2AD" w14:textId="109F8FA6" w:rsidR="0091260C" w:rsidRPr="00293413" w:rsidRDefault="0091260C" w:rsidP="0091260C">
            <w:pPr>
              <w:jc w:val="center"/>
            </w:pPr>
            <w:r>
              <w:rPr>
                <w:rFonts w:ascii="Calibri" w:hAnsi="Calibri" w:cs="Calibri"/>
                <w:color w:val="000000"/>
              </w:rPr>
              <w:t>0.85</w:t>
            </w:r>
          </w:p>
        </w:tc>
        <w:tc>
          <w:tcPr>
            <w:tcW w:w="729" w:type="dxa"/>
            <w:vAlign w:val="bottom"/>
          </w:tcPr>
          <w:p w14:paraId="0A62E184" w14:textId="199564B4" w:rsidR="0091260C" w:rsidRPr="00293413" w:rsidRDefault="0091260C" w:rsidP="0091260C">
            <w:pPr>
              <w:jc w:val="center"/>
            </w:pPr>
            <w:r>
              <w:rPr>
                <w:rFonts w:ascii="Calibri" w:hAnsi="Calibri" w:cs="Calibri"/>
                <w:color w:val="000000"/>
              </w:rPr>
              <w:t>0.91</w:t>
            </w:r>
          </w:p>
        </w:tc>
        <w:tc>
          <w:tcPr>
            <w:tcW w:w="755" w:type="dxa"/>
            <w:vAlign w:val="bottom"/>
          </w:tcPr>
          <w:p w14:paraId="0E723031" w14:textId="58A0FD6F" w:rsidR="0091260C" w:rsidRPr="00293413" w:rsidRDefault="0091260C" w:rsidP="0091260C">
            <w:pPr>
              <w:jc w:val="center"/>
            </w:pPr>
            <w:r>
              <w:rPr>
                <w:rFonts w:ascii="Calibri" w:hAnsi="Calibri" w:cs="Calibri"/>
                <w:color w:val="000000"/>
              </w:rPr>
              <w:t>0.91</w:t>
            </w:r>
          </w:p>
        </w:tc>
        <w:tc>
          <w:tcPr>
            <w:tcW w:w="755" w:type="dxa"/>
            <w:vAlign w:val="bottom"/>
          </w:tcPr>
          <w:p w14:paraId="582B621C" w14:textId="1A403646" w:rsidR="0091260C" w:rsidRDefault="0091260C" w:rsidP="0091260C">
            <w:pPr>
              <w:jc w:val="center"/>
              <w:rPr>
                <w:rFonts w:ascii="Calibri" w:hAnsi="Calibri" w:cs="Calibri"/>
                <w:color w:val="000000"/>
              </w:rPr>
            </w:pPr>
            <w:r>
              <w:rPr>
                <w:rFonts w:ascii="Calibri" w:hAnsi="Calibri" w:cs="Calibri"/>
                <w:color w:val="000000"/>
              </w:rPr>
              <w:t>4.2</w:t>
            </w:r>
          </w:p>
        </w:tc>
      </w:tr>
      <w:tr w:rsidR="0091260C" w14:paraId="3350E9B9" w14:textId="5757381C" w:rsidTr="00FF0DE7">
        <w:tc>
          <w:tcPr>
            <w:tcW w:w="962" w:type="dxa"/>
            <w:tcBorders>
              <w:bottom w:val="single" w:sz="4" w:space="0" w:color="auto"/>
            </w:tcBorders>
          </w:tcPr>
          <w:p w14:paraId="1BEC17EA" w14:textId="77777777" w:rsidR="0091260C" w:rsidRDefault="0091260C" w:rsidP="0091260C">
            <w:r>
              <w:t>Average</w:t>
            </w:r>
          </w:p>
        </w:tc>
        <w:tc>
          <w:tcPr>
            <w:tcW w:w="728" w:type="dxa"/>
            <w:tcBorders>
              <w:bottom w:val="single" w:sz="4" w:space="0" w:color="auto"/>
            </w:tcBorders>
            <w:vAlign w:val="bottom"/>
          </w:tcPr>
          <w:p w14:paraId="4B5E3B22" w14:textId="08C874CA" w:rsidR="0091260C" w:rsidRDefault="0091260C" w:rsidP="0091260C">
            <w:pPr>
              <w:jc w:val="center"/>
              <w:rPr>
                <w:rFonts w:ascii="Calibri" w:hAnsi="Calibri" w:cs="Calibri"/>
                <w:color w:val="000000"/>
              </w:rPr>
            </w:pPr>
            <w:r>
              <w:rPr>
                <w:rFonts w:ascii="Calibri" w:hAnsi="Calibri" w:cs="Calibri"/>
                <w:color w:val="000000"/>
              </w:rPr>
              <w:t>0.94</w:t>
            </w:r>
          </w:p>
        </w:tc>
        <w:tc>
          <w:tcPr>
            <w:tcW w:w="728" w:type="dxa"/>
            <w:tcBorders>
              <w:bottom w:val="single" w:sz="4" w:space="0" w:color="auto"/>
            </w:tcBorders>
            <w:vAlign w:val="bottom"/>
          </w:tcPr>
          <w:p w14:paraId="790F59FF" w14:textId="47CC6AAC" w:rsidR="0091260C" w:rsidRDefault="0091260C" w:rsidP="0091260C">
            <w:pPr>
              <w:jc w:val="center"/>
              <w:rPr>
                <w:rFonts w:ascii="Calibri" w:hAnsi="Calibri" w:cs="Calibri"/>
                <w:color w:val="000000"/>
              </w:rPr>
            </w:pPr>
            <w:r>
              <w:rPr>
                <w:rFonts w:ascii="Calibri" w:hAnsi="Calibri" w:cs="Calibri"/>
                <w:color w:val="000000"/>
              </w:rPr>
              <w:t>0.90</w:t>
            </w:r>
          </w:p>
        </w:tc>
        <w:tc>
          <w:tcPr>
            <w:tcW w:w="729" w:type="dxa"/>
            <w:tcBorders>
              <w:bottom w:val="single" w:sz="4" w:space="0" w:color="auto"/>
            </w:tcBorders>
            <w:vAlign w:val="bottom"/>
          </w:tcPr>
          <w:p w14:paraId="5CFC72E3" w14:textId="167F9AD9" w:rsidR="0091260C" w:rsidRDefault="0091260C" w:rsidP="0091260C">
            <w:pPr>
              <w:jc w:val="center"/>
              <w:rPr>
                <w:rFonts w:ascii="Calibri" w:hAnsi="Calibri" w:cs="Calibri"/>
                <w:color w:val="000000"/>
              </w:rPr>
            </w:pPr>
            <w:r>
              <w:rPr>
                <w:rFonts w:ascii="Calibri" w:hAnsi="Calibri" w:cs="Calibri"/>
                <w:color w:val="000000"/>
              </w:rPr>
              <w:t>0.94</w:t>
            </w:r>
          </w:p>
        </w:tc>
        <w:tc>
          <w:tcPr>
            <w:tcW w:w="759" w:type="dxa"/>
            <w:tcBorders>
              <w:bottom w:val="single" w:sz="4" w:space="0" w:color="auto"/>
            </w:tcBorders>
            <w:vAlign w:val="bottom"/>
          </w:tcPr>
          <w:p w14:paraId="5BD053FE" w14:textId="7924A2EC" w:rsidR="0091260C" w:rsidRDefault="0091260C" w:rsidP="0091260C">
            <w:pPr>
              <w:jc w:val="center"/>
            </w:pPr>
            <w:r>
              <w:rPr>
                <w:rFonts w:ascii="Calibri" w:hAnsi="Calibri" w:cs="Calibri"/>
                <w:color w:val="000000"/>
              </w:rPr>
              <w:t>1.04</w:t>
            </w:r>
          </w:p>
        </w:tc>
        <w:tc>
          <w:tcPr>
            <w:tcW w:w="759" w:type="dxa"/>
            <w:tcBorders>
              <w:bottom w:val="single" w:sz="4" w:space="0" w:color="auto"/>
            </w:tcBorders>
            <w:vAlign w:val="bottom"/>
          </w:tcPr>
          <w:p w14:paraId="623315D5" w14:textId="32385523" w:rsidR="0091260C" w:rsidRDefault="0091260C" w:rsidP="0091260C">
            <w:pPr>
              <w:jc w:val="center"/>
            </w:pPr>
            <w:r>
              <w:rPr>
                <w:rFonts w:ascii="Calibri" w:hAnsi="Calibri" w:cs="Calibri"/>
                <w:color w:val="000000"/>
              </w:rPr>
              <w:t>0.94</w:t>
            </w:r>
          </w:p>
        </w:tc>
        <w:tc>
          <w:tcPr>
            <w:tcW w:w="728" w:type="dxa"/>
            <w:tcBorders>
              <w:bottom w:val="single" w:sz="4" w:space="0" w:color="auto"/>
            </w:tcBorders>
            <w:vAlign w:val="bottom"/>
          </w:tcPr>
          <w:p w14:paraId="5CD96F0F" w14:textId="103DAE64" w:rsidR="0091260C" w:rsidRDefault="0091260C" w:rsidP="0091260C">
            <w:pPr>
              <w:jc w:val="center"/>
            </w:pPr>
            <w:r>
              <w:rPr>
                <w:rFonts w:ascii="Calibri" w:hAnsi="Calibri" w:cs="Calibri"/>
                <w:color w:val="000000"/>
              </w:rPr>
              <w:t>0.88</w:t>
            </w:r>
          </w:p>
        </w:tc>
        <w:tc>
          <w:tcPr>
            <w:tcW w:w="729" w:type="dxa"/>
            <w:tcBorders>
              <w:bottom w:val="single" w:sz="4" w:space="0" w:color="auto"/>
            </w:tcBorders>
            <w:vAlign w:val="bottom"/>
          </w:tcPr>
          <w:p w14:paraId="1C8674C2" w14:textId="2CA4BB2C" w:rsidR="0091260C" w:rsidRDefault="0091260C" w:rsidP="0091260C">
            <w:pPr>
              <w:jc w:val="center"/>
            </w:pPr>
            <w:r>
              <w:rPr>
                <w:rFonts w:ascii="Calibri" w:hAnsi="Calibri" w:cs="Calibri"/>
                <w:color w:val="000000"/>
              </w:rPr>
              <w:t>0.87</w:t>
            </w:r>
          </w:p>
        </w:tc>
        <w:tc>
          <w:tcPr>
            <w:tcW w:w="729" w:type="dxa"/>
            <w:tcBorders>
              <w:bottom w:val="single" w:sz="4" w:space="0" w:color="auto"/>
            </w:tcBorders>
            <w:vAlign w:val="bottom"/>
          </w:tcPr>
          <w:p w14:paraId="6D39F5F0" w14:textId="02D30290" w:rsidR="0091260C" w:rsidRDefault="0091260C" w:rsidP="0091260C">
            <w:pPr>
              <w:jc w:val="center"/>
            </w:pPr>
            <w:r>
              <w:rPr>
                <w:rFonts w:ascii="Calibri" w:hAnsi="Calibri" w:cs="Calibri"/>
                <w:color w:val="000000"/>
              </w:rPr>
              <w:t>0.93</w:t>
            </w:r>
          </w:p>
        </w:tc>
        <w:tc>
          <w:tcPr>
            <w:tcW w:w="755" w:type="dxa"/>
            <w:tcBorders>
              <w:bottom w:val="single" w:sz="4" w:space="0" w:color="auto"/>
            </w:tcBorders>
            <w:vAlign w:val="bottom"/>
          </w:tcPr>
          <w:p w14:paraId="639CF29E" w14:textId="0C15CB23" w:rsidR="0091260C" w:rsidRDefault="0091260C" w:rsidP="0091260C">
            <w:pPr>
              <w:jc w:val="center"/>
              <w:rPr>
                <w:rFonts w:ascii="Calibri" w:hAnsi="Calibri" w:cs="Calibri"/>
                <w:color w:val="000000"/>
              </w:rPr>
            </w:pPr>
            <w:r>
              <w:rPr>
                <w:rFonts w:ascii="Calibri" w:hAnsi="Calibri" w:cs="Calibri"/>
                <w:color w:val="000000"/>
              </w:rPr>
              <w:t>0.93</w:t>
            </w:r>
          </w:p>
        </w:tc>
        <w:tc>
          <w:tcPr>
            <w:tcW w:w="755" w:type="dxa"/>
            <w:tcBorders>
              <w:bottom w:val="single" w:sz="4" w:space="0" w:color="auto"/>
            </w:tcBorders>
            <w:vAlign w:val="bottom"/>
          </w:tcPr>
          <w:p w14:paraId="481076F8" w14:textId="2C6ECE28" w:rsidR="0091260C" w:rsidRDefault="0091260C" w:rsidP="0091260C">
            <w:pPr>
              <w:jc w:val="center"/>
              <w:rPr>
                <w:rFonts w:ascii="Calibri" w:hAnsi="Calibri" w:cs="Calibri"/>
                <w:color w:val="000000"/>
              </w:rPr>
            </w:pPr>
            <w:r>
              <w:rPr>
                <w:rFonts w:ascii="Calibri" w:hAnsi="Calibri" w:cs="Calibri"/>
                <w:color w:val="000000"/>
              </w:rPr>
              <w:t>4.4</w:t>
            </w:r>
          </w:p>
        </w:tc>
      </w:tr>
    </w:tbl>
    <w:p w14:paraId="28FBB448" w14:textId="161B346D" w:rsidR="002F1AE4" w:rsidRDefault="002F1AE4" w:rsidP="00194937">
      <w:pPr>
        <w:spacing w:before="160" w:line="276" w:lineRule="auto"/>
      </w:pPr>
    </w:p>
    <w:p w14:paraId="2CB6FE02" w14:textId="77777777" w:rsidR="00623C4F" w:rsidRDefault="00623C4F" w:rsidP="00194937">
      <w:pPr>
        <w:spacing w:before="160" w:line="276" w:lineRule="auto"/>
      </w:pPr>
    </w:p>
    <w:p w14:paraId="7C7B69B4" w14:textId="225A8E9C" w:rsidR="001036B1" w:rsidRDefault="00E70A88" w:rsidP="00F7571F">
      <w:pPr>
        <w:spacing w:before="160" w:line="276" w:lineRule="auto"/>
        <w:jc w:val="center"/>
      </w:pPr>
      <w:r w:rsidRPr="00E70A88">
        <w:rPr>
          <w:noProof/>
        </w:rPr>
        <w:lastRenderedPageBreak/>
        <w:drawing>
          <wp:inline distT="0" distB="0" distL="0" distR="0" wp14:anchorId="071DC5E0" wp14:editId="1C3CD5A1">
            <wp:extent cx="4571429" cy="2742857"/>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1429" cy="2742857"/>
                    </a:xfrm>
                    <a:prstGeom prst="rect">
                      <a:avLst/>
                    </a:prstGeom>
                  </pic:spPr>
                </pic:pic>
              </a:graphicData>
            </a:graphic>
          </wp:inline>
        </w:drawing>
      </w:r>
    </w:p>
    <w:p w14:paraId="424615E5" w14:textId="0D7FFB22" w:rsidR="002F1AE4" w:rsidRDefault="00A27F5A" w:rsidP="00194937">
      <w:pPr>
        <w:spacing w:before="160" w:line="276" w:lineRule="auto"/>
      </w:pPr>
      <w:r>
        <w:rPr>
          <w:b/>
          <w:bCs/>
        </w:rPr>
        <w:t>Figure 2</w:t>
      </w:r>
      <w:r w:rsidR="003E7B6D">
        <w:rPr>
          <w:b/>
          <w:bCs/>
        </w:rPr>
        <w:t>6</w:t>
      </w:r>
      <w:r>
        <w:rPr>
          <w:b/>
          <w:bCs/>
        </w:rPr>
        <w:t xml:space="preserve">. </w:t>
      </w:r>
      <w:r w:rsidR="009B6BF1">
        <w:t>F</w:t>
      </w:r>
      <w:r>
        <w:t>requency of emissions intensity of milk production across the 1,775 datasets</w:t>
      </w:r>
      <w:r w:rsidR="00EB3509">
        <w:t xml:space="preserve"> </w:t>
      </w:r>
      <w:r w:rsidR="003C590F">
        <w:t xml:space="preserve">once a proportion of GHG </w:t>
      </w:r>
      <w:r w:rsidR="000944C5">
        <w:t xml:space="preserve">is </w:t>
      </w:r>
      <w:r w:rsidR="003C590F">
        <w:t>allocated to meat production</w:t>
      </w:r>
      <w:r w:rsidR="00E70A88">
        <w:t xml:space="preserve">. </w:t>
      </w:r>
      <w:r w:rsidR="001F7194">
        <w:t>EI</w:t>
      </w:r>
      <w:r w:rsidR="00E70A88">
        <w:t>s</w:t>
      </w:r>
      <w:r w:rsidR="001F7194">
        <w:t xml:space="preserve"> broken down into 0.05 kg CO</w:t>
      </w:r>
      <w:r w:rsidR="001F7194" w:rsidRPr="002E7AFD">
        <w:rPr>
          <w:vertAlign w:val="subscript"/>
        </w:rPr>
        <w:t>2</w:t>
      </w:r>
      <w:r w:rsidR="001F7194">
        <w:t>e</w:t>
      </w:r>
      <w:r w:rsidR="008C07E2">
        <w:t xml:space="preserve">/kg FPCM increments where </w:t>
      </w:r>
      <w:r w:rsidR="00875131">
        <w:t>the number listed</w:t>
      </w:r>
      <w:r w:rsidR="006147C7">
        <w:t xml:space="preserve"> for each column</w:t>
      </w:r>
      <w:r w:rsidR="00875131">
        <w:t xml:space="preserve"> is the upper limit such that </w:t>
      </w:r>
      <w:r w:rsidR="00221D8B">
        <w:t>0.8</w:t>
      </w:r>
      <w:r w:rsidR="00875131">
        <w:t xml:space="preserve"> reflects </w:t>
      </w:r>
      <w:r w:rsidR="008C1351">
        <w:t xml:space="preserve">the number of datasets with an </w:t>
      </w:r>
      <w:r w:rsidR="00875131">
        <w:t xml:space="preserve">EI </w:t>
      </w:r>
      <w:r w:rsidR="00221D8B">
        <w:t xml:space="preserve">between </w:t>
      </w:r>
      <w:r w:rsidR="00B8782B">
        <w:t>0.75 and 0.</w:t>
      </w:r>
      <w:r w:rsidR="00D13BAF">
        <w:t>80</w:t>
      </w:r>
      <w:r w:rsidR="00D417D7">
        <w:t xml:space="preserve"> </w:t>
      </w:r>
      <w:r w:rsidR="00875131">
        <w:t>kg CO</w:t>
      </w:r>
      <w:r w:rsidR="00875131" w:rsidRPr="002E7AFD">
        <w:rPr>
          <w:vertAlign w:val="subscript"/>
        </w:rPr>
        <w:t>2</w:t>
      </w:r>
      <w:r w:rsidR="00875131">
        <w:t>e/kg FPCM</w:t>
      </w:r>
      <w:r w:rsidR="00E70A88">
        <w:t>.</w:t>
      </w:r>
    </w:p>
    <w:p w14:paraId="3B4305EE" w14:textId="0DE694EB" w:rsidR="00F7571F" w:rsidRDefault="00F7571F" w:rsidP="00194937">
      <w:pPr>
        <w:spacing w:before="160" w:line="276" w:lineRule="auto"/>
      </w:pPr>
    </w:p>
    <w:p w14:paraId="61EBBEA8" w14:textId="641BD599" w:rsidR="00F7571F" w:rsidRDefault="002E7AFD" w:rsidP="00F7571F">
      <w:pPr>
        <w:spacing w:before="160" w:line="276" w:lineRule="auto"/>
        <w:jc w:val="center"/>
      </w:pPr>
      <w:r w:rsidRPr="002E7AFD">
        <w:rPr>
          <w:noProof/>
        </w:rPr>
        <w:drawing>
          <wp:inline distT="0" distB="0" distL="0" distR="0" wp14:anchorId="1ADE35E9" wp14:editId="59C6F1A0">
            <wp:extent cx="4571429" cy="2742857"/>
            <wp:effectExtent l="0" t="0" r="635" b="635"/>
            <wp:docPr id="26" name="Picture 2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histogram&#10;&#10;Description automatically generated"/>
                    <pic:cNvPicPr/>
                  </pic:nvPicPr>
                  <pic:blipFill>
                    <a:blip r:embed="rId16"/>
                    <a:stretch>
                      <a:fillRect/>
                    </a:stretch>
                  </pic:blipFill>
                  <pic:spPr>
                    <a:xfrm>
                      <a:off x="0" y="0"/>
                      <a:ext cx="4571429" cy="2742857"/>
                    </a:xfrm>
                    <a:prstGeom prst="rect">
                      <a:avLst/>
                    </a:prstGeom>
                  </pic:spPr>
                </pic:pic>
              </a:graphicData>
            </a:graphic>
          </wp:inline>
        </w:drawing>
      </w:r>
    </w:p>
    <w:p w14:paraId="6B8CA760" w14:textId="549A8BDF" w:rsidR="00F7571F" w:rsidRPr="00F7571F" w:rsidRDefault="00F7571F" w:rsidP="00F7571F">
      <w:pPr>
        <w:spacing w:before="160" w:line="276" w:lineRule="auto"/>
      </w:pPr>
      <w:r>
        <w:rPr>
          <w:b/>
          <w:bCs/>
        </w:rPr>
        <w:t>Figure 2</w:t>
      </w:r>
      <w:r w:rsidR="003E7B6D">
        <w:rPr>
          <w:b/>
          <w:bCs/>
        </w:rPr>
        <w:t>7</w:t>
      </w:r>
      <w:r>
        <w:rPr>
          <w:b/>
          <w:bCs/>
        </w:rPr>
        <w:t>.</w:t>
      </w:r>
      <w:r w:rsidR="0019396A">
        <w:rPr>
          <w:b/>
          <w:bCs/>
        </w:rPr>
        <w:t xml:space="preserve"> </w:t>
      </w:r>
      <w:r w:rsidR="009B6BF1">
        <w:t>F</w:t>
      </w:r>
      <w:r>
        <w:t xml:space="preserve">requency of emissions intensity of meat production </w:t>
      </w:r>
      <w:r w:rsidR="00C50D62">
        <w:t>(kg CO</w:t>
      </w:r>
      <w:r w:rsidR="00C50D62" w:rsidRPr="008F6CC8">
        <w:rPr>
          <w:vertAlign w:val="subscript"/>
        </w:rPr>
        <w:t>2</w:t>
      </w:r>
      <w:r w:rsidR="00C50D62">
        <w:t>e/kg liveweight</w:t>
      </w:r>
      <w:r w:rsidR="008F6CC8">
        <w:t xml:space="preserve"> sold</w:t>
      </w:r>
      <w:r w:rsidR="00C50D62">
        <w:t xml:space="preserve">) </w:t>
      </w:r>
      <w:r>
        <w:t>across the 1,775 datasets. EIs broken down into 0.3 kg CO</w:t>
      </w:r>
      <w:r w:rsidRPr="002E7AFD">
        <w:rPr>
          <w:vertAlign w:val="subscript"/>
        </w:rPr>
        <w:t>2</w:t>
      </w:r>
      <w:r>
        <w:t>e/kg liveweight increments where the number listed</w:t>
      </w:r>
      <w:r w:rsidR="006147C7">
        <w:t xml:space="preserve"> for each column</w:t>
      </w:r>
      <w:r>
        <w:t xml:space="preserve"> is the upper limit such that 3.90 reflects</w:t>
      </w:r>
      <w:r w:rsidR="008C1351">
        <w:t xml:space="preserve"> the number of datasets with an EI </w:t>
      </w:r>
      <w:r>
        <w:t xml:space="preserve">between </w:t>
      </w:r>
      <w:r w:rsidR="00446CAE">
        <w:t>3.6 and 3.9 kg CO</w:t>
      </w:r>
      <w:r w:rsidR="00446CAE" w:rsidRPr="002E7AFD">
        <w:rPr>
          <w:vertAlign w:val="subscript"/>
        </w:rPr>
        <w:t>2</w:t>
      </w:r>
      <w:r w:rsidR="00446CAE">
        <w:t xml:space="preserve">e/kg liveweight. </w:t>
      </w:r>
    </w:p>
    <w:p w14:paraId="10704404" w14:textId="77777777" w:rsidR="009565D6" w:rsidRDefault="009565D6" w:rsidP="00194937">
      <w:pPr>
        <w:spacing w:before="160" w:line="276" w:lineRule="auto"/>
      </w:pPr>
    </w:p>
    <w:p w14:paraId="20689621" w14:textId="67867976" w:rsidR="0037172E" w:rsidRDefault="005925F3" w:rsidP="005925F3">
      <w:r>
        <w:t>Figure 2</w:t>
      </w:r>
      <w:r w:rsidR="003E7B6D">
        <w:t>8</w:t>
      </w:r>
      <w:r>
        <w:t xml:space="preserve"> illustrates the </w:t>
      </w:r>
      <w:r w:rsidR="00F95859">
        <w:t>proportion of emissions from each source</w:t>
      </w:r>
      <w:r w:rsidR="0001733A">
        <w:t>. Enteric CH</w:t>
      </w:r>
      <w:r w:rsidR="0001733A" w:rsidRPr="00D15504">
        <w:rPr>
          <w:vertAlign w:val="subscript"/>
        </w:rPr>
        <w:t xml:space="preserve">4 </w:t>
      </w:r>
      <w:r w:rsidR="0001733A">
        <w:t xml:space="preserve">was the biggest source of emissions, averaging </w:t>
      </w:r>
      <w:r w:rsidR="00CD461C">
        <w:t>61%</w:t>
      </w:r>
      <w:r w:rsidR="00FE0C7B">
        <w:t xml:space="preserve"> across the whole dataset</w:t>
      </w:r>
      <w:r w:rsidR="00515E08">
        <w:t xml:space="preserve">, but varying between 37 and 83%. </w:t>
      </w:r>
      <w:r w:rsidR="00B74F99">
        <w:t>Waste CH</w:t>
      </w:r>
      <w:r w:rsidR="00B74F99" w:rsidRPr="00B74F99">
        <w:rPr>
          <w:vertAlign w:val="subscript"/>
        </w:rPr>
        <w:t>4</w:t>
      </w:r>
      <w:r w:rsidR="00B74F99">
        <w:t xml:space="preserve"> </w:t>
      </w:r>
      <w:r w:rsidR="00C14407">
        <w:t>was the second highest, averaging 10%</w:t>
      </w:r>
      <w:r w:rsidR="00C56D8E">
        <w:t xml:space="preserve"> (range 5-47%). All other sources </w:t>
      </w:r>
      <w:r w:rsidR="006D3C1B">
        <w:t xml:space="preserve">averaged </w:t>
      </w:r>
      <w:r w:rsidR="00D15504">
        <w:t>&lt;</w:t>
      </w:r>
      <w:r w:rsidR="006D3C1B">
        <w:t xml:space="preserve"> 6%, although individual farms could have greater emissions from a particular source. For example, </w:t>
      </w:r>
      <w:r w:rsidR="00FB6577">
        <w:lastRenderedPageBreak/>
        <w:t>electricity emissions</w:t>
      </w:r>
      <w:r w:rsidR="009B0E5C">
        <w:t xml:space="preserve"> were</w:t>
      </w:r>
      <w:r w:rsidR="00FB6577">
        <w:t xml:space="preserve"> &gt; 10% for </w:t>
      </w:r>
      <w:r w:rsidR="00F13BCB">
        <w:t>many farm datasets</w:t>
      </w:r>
      <w:r w:rsidR="00FB6577">
        <w:t xml:space="preserve">, while there were several datasets </w:t>
      </w:r>
      <w:r w:rsidR="00F13BCB">
        <w:t>&gt; 30%. These may be data entry errors,</w:t>
      </w:r>
      <w:r w:rsidR="00F07BA4">
        <w:t xml:space="preserve"> </w:t>
      </w:r>
      <w:r w:rsidR="00CD2405">
        <w:t xml:space="preserve">farms with large amounts of irrigation occurring, </w:t>
      </w:r>
      <w:r w:rsidR="00F13BCB">
        <w:t>or may reflect farms with inefficient electricity consumption in the dairy and/or irrigation</w:t>
      </w:r>
      <w:r w:rsidR="008A7150">
        <w:t xml:space="preserve"> </w:t>
      </w:r>
      <w:r w:rsidR="00BA137C">
        <w:t>infrastructure</w:t>
      </w:r>
      <w:r w:rsidR="00F07BA4">
        <w:t>.</w:t>
      </w:r>
      <w:r w:rsidR="0019396A">
        <w:t xml:space="preserve"> </w:t>
      </w:r>
      <w:r w:rsidR="00F07BA4">
        <w:t>The</w:t>
      </w:r>
      <w:r w:rsidR="00B36E98">
        <w:t xml:space="preserve"> one farm dataset with a very high waste CH</w:t>
      </w:r>
      <w:r w:rsidR="00B36E98" w:rsidRPr="00DA7A2F">
        <w:rPr>
          <w:vertAlign w:val="subscript"/>
        </w:rPr>
        <w:t>4</w:t>
      </w:r>
      <w:r w:rsidR="00B36E98">
        <w:t xml:space="preserve"> source </w:t>
      </w:r>
      <w:r w:rsidR="001B3EA8">
        <w:t>(~ 48%</w:t>
      </w:r>
      <w:r w:rsidR="009A2F08">
        <w:t xml:space="preserve"> in Figure 28</w:t>
      </w:r>
      <w:r w:rsidR="001B3EA8">
        <w:t>)</w:t>
      </w:r>
      <w:r w:rsidR="00BF51A5">
        <w:t xml:space="preserve"> </w:t>
      </w:r>
      <w:r w:rsidR="00B36E98">
        <w:t xml:space="preserve">is a </w:t>
      </w:r>
      <w:r w:rsidR="001756F7">
        <w:t xml:space="preserve">total mixed ration </w:t>
      </w:r>
      <w:r w:rsidR="00B36E98">
        <w:t xml:space="preserve">farm where </w:t>
      </w:r>
      <w:r w:rsidR="00BA137C">
        <w:t>all</w:t>
      </w:r>
      <w:r w:rsidR="00B36E98">
        <w:t xml:space="preserve"> cows </w:t>
      </w:r>
      <w:r w:rsidR="00DE6B48">
        <w:t xml:space="preserve">and young stock </w:t>
      </w:r>
      <w:r w:rsidR="001B3EA8">
        <w:t>are housed year round</w:t>
      </w:r>
      <w:r w:rsidR="00C708D1">
        <w:t xml:space="preserve">. </w:t>
      </w:r>
      <w:r w:rsidR="001B5963">
        <w:t>All</w:t>
      </w:r>
      <w:r w:rsidR="00C708D1">
        <w:t xml:space="preserve"> their waste </w:t>
      </w:r>
      <w:r w:rsidR="002F6351">
        <w:t>passe</w:t>
      </w:r>
      <w:r w:rsidR="001756F7">
        <w:t>s</w:t>
      </w:r>
      <w:r w:rsidR="002F6351">
        <w:t xml:space="preserve"> through a </w:t>
      </w:r>
      <w:r w:rsidR="0028225D">
        <w:t xml:space="preserve">pre-treatment </w:t>
      </w:r>
      <w:r w:rsidR="002F6351">
        <w:t xml:space="preserve">mechanism, such as a weeping wall, to capture 20% </w:t>
      </w:r>
      <w:r w:rsidR="00F044C2">
        <w:t xml:space="preserve">of the waste </w:t>
      </w:r>
      <w:r w:rsidR="0028225D">
        <w:t>in a solid storage state</w:t>
      </w:r>
      <w:r w:rsidR="00D07C08">
        <w:t xml:space="preserve"> before the balance 80% of waste </w:t>
      </w:r>
      <w:r w:rsidR="001B5963">
        <w:t>passes through the weeping wall</w:t>
      </w:r>
      <w:r w:rsidR="0021607C">
        <w:t xml:space="preserve"> to </w:t>
      </w:r>
      <w:r w:rsidR="00D07C08">
        <w:t>enter a pond/lagoon system</w:t>
      </w:r>
      <w:r w:rsidR="00E47126">
        <w:t>.</w:t>
      </w:r>
      <w:r w:rsidR="0085687C">
        <w:t xml:space="preserve"> This farm had implemented the </w:t>
      </w:r>
      <w:r w:rsidR="0085687C">
        <w:rPr>
          <w:i/>
          <w:iCs/>
        </w:rPr>
        <w:t>User</w:t>
      </w:r>
      <w:r w:rsidR="00C32A9B">
        <w:rPr>
          <w:i/>
          <w:iCs/>
        </w:rPr>
        <w:t xml:space="preserve">-defined </w:t>
      </w:r>
      <w:r w:rsidR="006E21DD">
        <w:rPr>
          <w:i/>
          <w:iCs/>
        </w:rPr>
        <w:t xml:space="preserve">factors and fractions </w:t>
      </w:r>
      <w:r w:rsidR="006E21DD">
        <w:t xml:space="preserve">option to better capture their on-farm management of manure. </w:t>
      </w:r>
      <w:r w:rsidR="00AC1096">
        <w:t xml:space="preserve"> </w:t>
      </w:r>
    </w:p>
    <w:p w14:paraId="3B7A07BC" w14:textId="77777777" w:rsidR="00F61210" w:rsidRDefault="00F61210" w:rsidP="00F61210">
      <w:r w:rsidRPr="00F61210">
        <w:rPr>
          <w:noProof/>
        </w:rPr>
        <w:drawing>
          <wp:inline distT="0" distB="0" distL="0" distR="0" wp14:anchorId="1E1AD1B6" wp14:editId="22EE5B5E">
            <wp:extent cx="5293995" cy="5630679"/>
            <wp:effectExtent l="0" t="0" r="190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684"/>
                    <a:stretch/>
                  </pic:blipFill>
                  <pic:spPr bwMode="auto">
                    <a:xfrm>
                      <a:off x="0" y="0"/>
                      <a:ext cx="5293995" cy="5630679"/>
                    </a:xfrm>
                    <a:prstGeom prst="rect">
                      <a:avLst/>
                    </a:prstGeom>
                    <a:noFill/>
                    <a:ln>
                      <a:noFill/>
                    </a:ln>
                    <a:extLst>
                      <a:ext uri="{53640926-AAD7-44D8-BBD7-CCE9431645EC}">
                        <a14:shadowObscured xmlns:a14="http://schemas.microsoft.com/office/drawing/2010/main"/>
                      </a:ext>
                    </a:extLst>
                  </pic:spPr>
                </pic:pic>
              </a:graphicData>
            </a:graphic>
          </wp:inline>
        </w:drawing>
      </w:r>
    </w:p>
    <w:p w14:paraId="10FD72BB" w14:textId="77777777" w:rsidR="00E47126" w:rsidRDefault="00E47126" w:rsidP="00F61210"/>
    <w:p w14:paraId="7E92F973" w14:textId="6CF05CD9" w:rsidR="00207648" w:rsidRDefault="00E47126" w:rsidP="00207648">
      <w:pPr>
        <w:spacing w:line="276" w:lineRule="auto"/>
      </w:pPr>
      <w:r>
        <w:rPr>
          <w:b/>
          <w:bCs/>
        </w:rPr>
        <w:t xml:space="preserve">Figure </w:t>
      </w:r>
      <w:r w:rsidR="00C50ED5">
        <w:rPr>
          <w:b/>
          <w:bCs/>
        </w:rPr>
        <w:t>2</w:t>
      </w:r>
      <w:r w:rsidR="003E7B6D">
        <w:rPr>
          <w:b/>
          <w:bCs/>
        </w:rPr>
        <w:t>8</w:t>
      </w:r>
      <w:r w:rsidR="00C50ED5">
        <w:rPr>
          <w:b/>
          <w:bCs/>
        </w:rPr>
        <w:t>.</w:t>
      </w:r>
      <w:r w:rsidR="0019396A">
        <w:rPr>
          <w:b/>
          <w:bCs/>
        </w:rPr>
        <w:t xml:space="preserve"> </w:t>
      </w:r>
      <w:r w:rsidR="00AC1096">
        <w:rPr>
          <w:b/>
          <w:bCs/>
        </w:rPr>
        <w:t xml:space="preserve"> </w:t>
      </w:r>
      <w:r w:rsidR="00AC1096">
        <w:t>Proportion of GHG emissions from each source for the 1,775 farm datasets</w:t>
      </w:r>
      <w:r w:rsidR="006019F0">
        <w:t xml:space="preserve">. </w:t>
      </w:r>
      <w:r w:rsidR="00207648">
        <w:t xml:space="preserve">The boxes represents </w:t>
      </w:r>
      <w:r w:rsidR="00885601">
        <w:t xml:space="preserve">the </w:t>
      </w:r>
      <w:r w:rsidR="00207648">
        <w:t>25</w:t>
      </w:r>
      <w:r w:rsidR="00207648" w:rsidRPr="005A7A68">
        <w:rPr>
          <w:vertAlign w:val="superscript"/>
        </w:rPr>
        <w:t>th</w:t>
      </w:r>
      <w:r w:rsidR="00207648">
        <w:t xml:space="preserve"> and 75</w:t>
      </w:r>
      <w:r w:rsidR="00207648" w:rsidRPr="005A7A68">
        <w:rPr>
          <w:vertAlign w:val="superscript"/>
        </w:rPr>
        <w:t>th</w:t>
      </w:r>
      <w:r w:rsidR="00207648">
        <w:t xml:space="preserve"> percentile</w:t>
      </w:r>
      <w:r w:rsidR="00885601">
        <w:t>s</w:t>
      </w:r>
      <w:r w:rsidR="00207648">
        <w:t>, whiskers represent 10</w:t>
      </w:r>
      <w:r w:rsidR="00207648" w:rsidRPr="005A7A68">
        <w:rPr>
          <w:vertAlign w:val="superscript"/>
        </w:rPr>
        <w:t>th</w:t>
      </w:r>
      <w:r w:rsidR="00207648">
        <w:t xml:space="preserve"> and 90</w:t>
      </w:r>
      <w:r w:rsidR="00207648" w:rsidRPr="005A7A68">
        <w:rPr>
          <w:vertAlign w:val="superscript"/>
        </w:rPr>
        <w:t>th</w:t>
      </w:r>
      <w:r w:rsidR="00207648">
        <w:t xml:space="preserve"> percentile</w:t>
      </w:r>
      <w:r w:rsidR="00885601">
        <w:t>s</w:t>
      </w:r>
      <w:r w:rsidR="00207648">
        <w:t>, dots represent outliers</w:t>
      </w:r>
      <w:r w:rsidR="00F044C2">
        <w:t>,</w:t>
      </w:r>
      <w:r w:rsidR="00207648">
        <w:t xml:space="preserve"> and solid line</w:t>
      </w:r>
      <w:r w:rsidR="00885601">
        <w:t>s</w:t>
      </w:r>
      <w:r w:rsidR="00207648">
        <w:t xml:space="preserve"> in the boxes represent the medians. </w:t>
      </w:r>
    </w:p>
    <w:p w14:paraId="5D7C89F3" w14:textId="77777777" w:rsidR="00E47126" w:rsidRDefault="00E47126" w:rsidP="00F61210"/>
    <w:p w14:paraId="5E097264" w14:textId="486D5DC6" w:rsidR="00F922AE" w:rsidRDefault="005E7B1F" w:rsidP="00F61210">
      <w:r>
        <w:lastRenderedPageBreak/>
        <w:t xml:space="preserve">One </w:t>
      </w:r>
      <w:r w:rsidR="00A14183">
        <w:t xml:space="preserve">way </w:t>
      </w:r>
      <w:r w:rsidR="00885601">
        <w:t xml:space="preserve">to compare </w:t>
      </w:r>
      <w:r w:rsidR="00A14183">
        <w:t xml:space="preserve">your results to other farms is </w:t>
      </w:r>
      <w:r w:rsidR="00222E30">
        <w:t xml:space="preserve">to </w:t>
      </w:r>
      <w:r w:rsidR="00A14183">
        <w:t xml:space="preserve">review </w:t>
      </w:r>
      <w:r w:rsidR="00DF26AB">
        <w:t xml:space="preserve">your farm’s milk efficiency. </w:t>
      </w:r>
      <w:r w:rsidR="009F097A">
        <w:t xml:space="preserve">A common </w:t>
      </w:r>
      <w:r w:rsidR="00E018FC">
        <w:t>target</w:t>
      </w:r>
      <w:r w:rsidR="009F097A">
        <w:t xml:space="preserve"> used </w:t>
      </w:r>
      <w:r w:rsidR="00222E30">
        <w:t>in the</w:t>
      </w:r>
      <w:r w:rsidR="009F097A">
        <w:t xml:space="preserve"> dairy industry is </w:t>
      </w:r>
      <w:r w:rsidR="006E21DD">
        <w:t xml:space="preserve">to </w:t>
      </w:r>
      <w:r w:rsidR="009F097A">
        <w:t>produc</w:t>
      </w:r>
      <w:r w:rsidR="006E21DD">
        <w:t>e</w:t>
      </w:r>
      <w:r w:rsidR="009F097A">
        <w:t xml:space="preserve"> </w:t>
      </w:r>
      <w:r w:rsidR="005C55C7">
        <w:t>1</w:t>
      </w:r>
      <w:r w:rsidR="009F097A">
        <w:t xml:space="preserve"> kg of milksolids per kg of </w:t>
      </w:r>
      <w:r w:rsidR="005A5623">
        <w:t xml:space="preserve">milking cow </w:t>
      </w:r>
      <w:r w:rsidR="009F097A">
        <w:t>liveweight</w:t>
      </w:r>
      <w:r w:rsidR="005A5623">
        <w:t>.</w:t>
      </w:r>
      <w:r w:rsidR="009F097A">
        <w:t xml:space="preserve"> </w:t>
      </w:r>
      <w:r w:rsidR="00DF26AB">
        <w:t>Figure 2</w:t>
      </w:r>
      <w:r w:rsidR="003E7B6D">
        <w:t>9</w:t>
      </w:r>
      <w:r w:rsidR="00DF26AB">
        <w:t xml:space="preserve"> illustrates </w:t>
      </w:r>
      <w:r w:rsidR="00FE2260">
        <w:t xml:space="preserve">that </w:t>
      </w:r>
      <w:r w:rsidR="00DF26AB">
        <w:t>as th</w:t>
      </w:r>
      <w:r w:rsidR="005C55C7">
        <w:t xml:space="preserve">is </w:t>
      </w:r>
      <w:r w:rsidR="00E018FC">
        <w:t>milk efficiency ratio inc</w:t>
      </w:r>
      <w:r w:rsidR="00825352">
        <w:t>reases</w:t>
      </w:r>
      <w:r w:rsidR="00FE2260">
        <w:t>, there is a trend of reducing EIs</w:t>
      </w:r>
      <w:r w:rsidR="00825352">
        <w:t xml:space="preserve">. </w:t>
      </w:r>
      <w:r w:rsidR="003C317B">
        <w:t xml:space="preserve">By targeting &gt; 1 kg milksolids per kg of liveweight, </w:t>
      </w:r>
      <w:r w:rsidR="00017BBB">
        <w:t xml:space="preserve">GHG </w:t>
      </w:r>
      <w:r w:rsidR="003C317B">
        <w:t xml:space="preserve">emissions can be diluted by </w:t>
      </w:r>
      <w:r w:rsidR="00CE0EBD">
        <w:t xml:space="preserve">increased milk production. </w:t>
      </w:r>
      <w:r w:rsidR="00B76E60">
        <w:t>The low R</w:t>
      </w:r>
      <w:r w:rsidR="00B76E60" w:rsidRPr="007B3979">
        <w:rPr>
          <w:vertAlign w:val="superscript"/>
        </w:rPr>
        <w:t>2</w:t>
      </w:r>
      <w:r w:rsidR="00B76E60">
        <w:t xml:space="preserve"> </w:t>
      </w:r>
      <w:r w:rsidR="00F044C2">
        <w:t>of 0.28</w:t>
      </w:r>
      <w:r w:rsidR="002667CD">
        <w:t xml:space="preserve">, in addition to the </w:t>
      </w:r>
      <w:r w:rsidR="007B3979">
        <w:t xml:space="preserve">many dots sitting some distance from the dotted line, </w:t>
      </w:r>
      <w:r w:rsidR="00B76E60">
        <w:t>indicate</w:t>
      </w:r>
      <w:r w:rsidR="00222E30">
        <w:t>s</w:t>
      </w:r>
      <w:r w:rsidR="00B76E60">
        <w:t xml:space="preserve"> that </w:t>
      </w:r>
      <w:r w:rsidR="00544147">
        <w:t xml:space="preserve">while there is a trend, </w:t>
      </w:r>
      <w:r w:rsidR="00B76E60">
        <w:t xml:space="preserve">milk efficiency is a poor surrogate </w:t>
      </w:r>
      <w:r w:rsidR="00222E30">
        <w:t xml:space="preserve">for </w:t>
      </w:r>
      <w:r w:rsidR="00B76E60">
        <w:t xml:space="preserve">estimating EI. In addition, </w:t>
      </w:r>
      <w:r w:rsidR="00CE0EBD">
        <w:t>Figure 2</w:t>
      </w:r>
      <w:r w:rsidR="003E7B6D">
        <w:t>9</w:t>
      </w:r>
      <w:r w:rsidR="00C50ED5">
        <w:t xml:space="preserve"> </w:t>
      </w:r>
      <w:r w:rsidR="00CE0EBD">
        <w:t>suggest</w:t>
      </w:r>
      <w:r w:rsidR="007B3979">
        <w:t>s</w:t>
      </w:r>
      <w:r w:rsidR="00CE0EBD">
        <w:t xml:space="preserve"> there is a point</w:t>
      </w:r>
      <w:r w:rsidR="00FD48BE">
        <w:t>, at approx. 1.2 kg milksolids/kg liveweight</w:t>
      </w:r>
      <w:r w:rsidR="00141658">
        <w:t>,</w:t>
      </w:r>
      <w:r w:rsidR="00CE0EBD">
        <w:t xml:space="preserve"> at which </w:t>
      </w:r>
      <w:r w:rsidR="00017BBB">
        <w:t xml:space="preserve">an increase in milk efficiency </w:t>
      </w:r>
      <w:r w:rsidR="00B408B4">
        <w:t xml:space="preserve">is unlikely to </w:t>
      </w:r>
      <w:r w:rsidR="00CE0EBD">
        <w:t xml:space="preserve">result in a reduction in EI. </w:t>
      </w:r>
    </w:p>
    <w:p w14:paraId="62C6AA1D" w14:textId="7A79109E" w:rsidR="004B6377" w:rsidRDefault="004B6377" w:rsidP="00F61210"/>
    <w:p w14:paraId="117F87CB" w14:textId="71E875FA" w:rsidR="004B6377" w:rsidRDefault="00842C9F" w:rsidP="00E57B9C">
      <w:pPr>
        <w:jc w:val="center"/>
        <w:rPr>
          <w:noProof/>
        </w:rPr>
      </w:pPr>
      <w:r w:rsidRPr="00842C9F">
        <w:rPr>
          <w:noProof/>
        </w:rPr>
        <w:drawing>
          <wp:inline distT="0" distB="0" distL="0" distR="0" wp14:anchorId="7E02E536" wp14:editId="6615A659">
            <wp:extent cx="4339988" cy="2681118"/>
            <wp:effectExtent l="0" t="0" r="381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0349" cy="2687519"/>
                    </a:xfrm>
                    <a:prstGeom prst="rect">
                      <a:avLst/>
                    </a:prstGeom>
                  </pic:spPr>
                </pic:pic>
              </a:graphicData>
            </a:graphic>
          </wp:inline>
        </w:drawing>
      </w:r>
    </w:p>
    <w:p w14:paraId="0578756F" w14:textId="47FE7E5D" w:rsidR="002C2EA8" w:rsidRPr="00225D1A" w:rsidRDefault="00225D1A" w:rsidP="002C2EA8">
      <w:r>
        <w:rPr>
          <w:b/>
          <w:bCs/>
        </w:rPr>
        <w:t>Figure 2</w:t>
      </w:r>
      <w:r w:rsidR="003E7B6D">
        <w:rPr>
          <w:b/>
          <w:bCs/>
        </w:rPr>
        <w:t>9</w:t>
      </w:r>
      <w:r>
        <w:rPr>
          <w:b/>
          <w:bCs/>
        </w:rPr>
        <w:t xml:space="preserve">. </w:t>
      </w:r>
      <w:r>
        <w:t xml:space="preserve">Relationship between milk efficiency (kg milksolids/kg liveweight of the milking cow) and milk emissions </w:t>
      </w:r>
      <w:r w:rsidR="00C50D62">
        <w:t>intensity</w:t>
      </w:r>
      <w:r>
        <w:t xml:space="preserve"> (kg CO</w:t>
      </w:r>
      <w:r w:rsidRPr="00722BEC">
        <w:rPr>
          <w:vertAlign w:val="subscript"/>
        </w:rPr>
        <w:t>2</w:t>
      </w:r>
      <w:r w:rsidR="00C50D62">
        <w:t>e</w:t>
      </w:r>
      <w:r>
        <w:t xml:space="preserve">/kg </w:t>
      </w:r>
      <w:r w:rsidR="00C50D62">
        <w:t>FPCM).</w:t>
      </w:r>
      <w:r w:rsidR="00722BEC">
        <w:t xml:space="preserve"> </w:t>
      </w:r>
    </w:p>
    <w:p w14:paraId="1973CC4A" w14:textId="77777777" w:rsidR="00225D1A" w:rsidRDefault="00225D1A" w:rsidP="002C2EA8"/>
    <w:p w14:paraId="738159CC" w14:textId="06672573" w:rsidR="002C2EA8" w:rsidRDefault="002C2EA8" w:rsidP="002C2EA8">
      <w:r>
        <w:t xml:space="preserve">One way to improve milk production per kg of liveweight is </w:t>
      </w:r>
      <w:r w:rsidR="00141658">
        <w:t>by</w:t>
      </w:r>
      <w:r>
        <w:t xml:space="preserve"> </w:t>
      </w:r>
      <w:r w:rsidR="00E7114A">
        <w:t xml:space="preserve">increasing the energy density of the diet through </w:t>
      </w:r>
      <w:r>
        <w:t>grain/concentrate feeding.</w:t>
      </w:r>
      <w:r w:rsidR="0019396A">
        <w:t xml:space="preserve"> </w:t>
      </w:r>
      <w:r>
        <w:t xml:space="preserve">Figure </w:t>
      </w:r>
      <w:r w:rsidR="003E7B6D">
        <w:t>30</w:t>
      </w:r>
      <w:r>
        <w:t xml:space="preserve"> illustrates the relationship between milk efficiency and EI for three grain feeding groups; low (&lt; 1 t DM/</w:t>
      </w:r>
      <w:proofErr w:type="spellStart"/>
      <w:r>
        <w:t>cow.annum</w:t>
      </w:r>
      <w:proofErr w:type="spellEnd"/>
      <w:r>
        <w:t>), medium (1-2 t DM/</w:t>
      </w:r>
      <w:proofErr w:type="spellStart"/>
      <w:r>
        <w:t>cow.annum</w:t>
      </w:r>
      <w:proofErr w:type="spellEnd"/>
      <w:r>
        <w:t>)</w:t>
      </w:r>
      <w:r w:rsidR="00944683">
        <w:t>,</w:t>
      </w:r>
      <w:r>
        <w:t xml:space="preserve"> and high (&gt; 2 t DM/</w:t>
      </w:r>
      <w:proofErr w:type="spellStart"/>
      <w:r>
        <w:t>cow.annum</w:t>
      </w:r>
      <w:proofErr w:type="spellEnd"/>
      <w:r>
        <w:t xml:space="preserve">). </w:t>
      </w:r>
      <w:r w:rsidR="00266C0B">
        <w:t>I</w:t>
      </w:r>
      <w:r>
        <w:t xml:space="preserve">t must be noted </w:t>
      </w:r>
      <w:r w:rsidR="00BA5B1B">
        <w:t xml:space="preserve">that </w:t>
      </w:r>
      <w:r>
        <w:t>when undertaking this assessment, it was assumed that all grain/concentrates were fed to the milking cow</w:t>
      </w:r>
      <w:r w:rsidR="00623B2D">
        <w:t xml:space="preserve">. </w:t>
      </w:r>
      <w:r w:rsidR="007F0F8D">
        <w:t>T</w:t>
      </w:r>
      <w:r w:rsidR="00623B2D">
        <w:t xml:space="preserve">his </w:t>
      </w:r>
      <w:r w:rsidR="00CF3894">
        <w:t xml:space="preserve">may not always be the case if young stock </w:t>
      </w:r>
      <w:r w:rsidR="00BA5B1B">
        <w:t>is</w:t>
      </w:r>
      <w:r w:rsidR="00CF3894">
        <w:t xml:space="preserve"> also fed grain (e.g. pre-wea</w:t>
      </w:r>
      <w:r w:rsidR="008D6DDA">
        <w:t>ned calves to develop their rumen</w:t>
      </w:r>
      <w:r w:rsidR="00CF3894">
        <w:t>)</w:t>
      </w:r>
      <w:r w:rsidR="007F0F8D">
        <w:t>. However</w:t>
      </w:r>
      <w:r w:rsidR="00623B2D">
        <w:t xml:space="preserve">, the milking herd will </w:t>
      </w:r>
      <w:r w:rsidR="00BA5B1B">
        <w:t xml:space="preserve">still </w:t>
      </w:r>
      <w:r w:rsidR="00623B2D">
        <w:t>consume the majority of purchased grain/concentrates</w:t>
      </w:r>
      <w:r>
        <w:t>.</w:t>
      </w:r>
      <w:r w:rsidR="0019396A">
        <w:t xml:space="preserve"> </w:t>
      </w:r>
      <w:r w:rsidR="00BA5B1B">
        <w:t>The a</w:t>
      </w:r>
      <w:r w:rsidR="00565B8D">
        <w:t>verage EI was</w:t>
      </w:r>
      <w:r w:rsidR="00AB191B">
        <w:t xml:space="preserve"> 0.98 kg CO</w:t>
      </w:r>
      <w:r w:rsidR="00AB191B" w:rsidRPr="00F92FB6">
        <w:rPr>
          <w:vertAlign w:val="subscript"/>
        </w:rPr>
        <w:t>2</w:t>
      </w:r>
      <w:r w:rsidR="00AB191B">
        <w:t xml:space="preserve">e/kg </w:t>
      </w:r>
      <w:r w:rsidR="00BF125A">
        <w:t xml:space="preserve">FPCM for the low grain feeding group, while there was little difference between the medium and high grain feeding groups, </w:t>
      </w:r>
      <w:r w:rsidR="00623B2D">
        <w:t xml:space="preserve">both </w:t>
      </w:r>
      <w:r w:rsidR="00CF3E36">
        <w:t xml:space="preserve">with </w:t>
      </w:r>
      <w:r w:rsidR="00623B2D">
        <w:t xml:space="preserve">a mean of </w:t>
      </w:r>
      <w:r w:rsidR="00BF125A">
        <w:t>EI of 0.93 kg CO</w:t>
      </w:r>
      <w:r w:rsidR="00BF125A" w:rsidRPr="00F92FB6">
        <w:rPr>
          <w:vertAlign w:val="subscript"/>
        </w:rPr>
        <w:t>2</w:t>
      </w:r>
      <w:r w:rsidR="00BF125A">
        <w:t>e/kg FPCM</w:t>
      </w:r>
      <w:r w:rsidR="00F92FB6">
        <w:t xml:space="preserve">. </w:t>
      </w:r>
      <w:r w:rsidR="00440862">
        <w:t xml:space="preserve">However, as grain feeding increased, the variation between the highest and lowest dataset EI within each grain feeding group </w:t>
      </w:r>
      <w:r w:rsidR="00254794">
        <w:t>declined</w:t>
      </w:r>
      <w:r w:rsidR="003F29FE">
        <w:t xml:space="preserve"> (data not shown)</w:t>
      </w:r>
      <w:r w:rsidR="00254794">
        <w:t>. Thus</w:t>
      </w:r>
      <w:r w:rsidR="00BA5B1B">
        <w:t>,</w:t>
      </w:r>
      <w:r w:rsidR="00254794">
        <w:t xml:space="preserve"> it may be concluded that </w:t>
      </w:r>
      <w:r w:rsidR="00A91106">
        <w:t xml:space="preserve">increased grain feeding reduces the variability of EI within each grain feeding group. </w:t>
      </w:r>
    </w:p>
    <w:p w14:paraId="2A21F359" w14:textId="77777777" w:rsidR="002C2EA8" w:rsidRDefault="002C2EA8" w:rsidP="00F61210">
      <w:pPr>
        <w:rPr>
          <w:noProof/>
        </w:rPr>
      </w:pPr>
    </w:p>
    <w:p w14:paraId="016E8622" w14:textId="62DD4DF9" w:rsidR="002C2EA8" w:rsidRDefault="00A14112" w:rsidP="00F61210">
      <w:r w:rsidRPr="00A14112">
        <w:rPr>
          <w:noProof/>
        </w:rPr>
        <w:lastRenderedPageBreak/>
        <w:drawing>
          <wp:inline distT="0" distB="0" distL="0" distR="0" wp14:anchorId="5F052D1C" wp14:editId="348DB3EF">
            <wp:extent cx="5731510" cy="3540760"/>
            <wp:effectExtent l="0" t="0" r="254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540760"/>
                    </a:xfrm>
                    <a:prstGeom prst="rect">
                      <a:avLst/>
                    </a:prstGeom>
                  </pic:spPr>
                </pic:pic>
              </a:graphicData>
            </a:graphic>
          </wp:inline>
        </w:drawing>
      </w:r>
    </w:p>
    <w:p w14:paraId="7617E01B" w14:textId="337189C9" w:rsidR="00F922AE" w:rsidRDefault="008A21C8" w:rsidP="00F61210">
      <w:r>
        <w:rPr>
          <w:b/>
          <w:bCs/>
        </w:rPr>
        <w:t xml:space="preserve">Figure </w:t>
      </w:r>
      <w:r w:rsidR="007B3979">
        <w:rPr>
          <w:b/>
          <w:bCs/>
        </w:rPr>
        <w:t>30</w:t>
      </w:r>
      <w:r>
        <w:rPr>
          <w:b/>
          <w:bCs/>
        </w:rPr>
        <w:t xml:space="preserve">. </w:t>
      </w:r>
      <w:r>
        <w:t>The relationship between milk efficiency (kg milksolids/kg liveweight) and emissions intensity (kg CO</w:t>
      </w:r>
      <w:r w:rsidRPr="00AF45E4">
        <w:rPr>
          <w:vertAlign w:val="subscript"/>
        </w:rPr>
        <w:t>2</w:t>
      </w:r>
      <w:r>
        <w:t xml:space="preserve">e/kg FPCM) for low grain feeding </w:t>
      </w:r>
      <w:r w:rsidR="002D449F">
        <w:t>(&lt; 1 t DM/cow; blue circles), medium grain feeding (1-2 t DM/cow; orange diamonds</w:t>
      </w:r>
      <w:r w:rsidR="00456E73">
        <w:t>)</w:t>
      </w:r>
      <w:r w:rsidR="00944683">
        <w:t>,</w:t>
      </w:r>
      <w:r w:rsidR="00E223AC">
        <w:t xml:space="preserve"> </w:t>
      </w:r>
      <w:r w:rsidR="002D449F">
        <w:t>and high grain feeding (&gt; 2 t DM/cow</w:t>
      </w:r>
      <w:r w:rsidR="00E85334">
        <w:t>;</w:t>
      </w:r>
      <w:r w:rsidR="002D449F">
        <w:t xml:space="preserve"> green crosses).</w:t>
      </w:r>
    </w:p>
    <w:p w14:paraId="5532B5D3" w14:textId="77777777" w:rsidR="002D449F" w:rsidRPr="008A21C8" w:rsidRDefault="002D449F" w:rsidP="00F61210"/>
    <w:p w14:paraId="4C1A18E8" w14:textId="7B66312D" w:rsidR="00424EF8" w:rsidRDefault="00660B85" w:rsidP="00F61210">
      <w:r>
        <w:t xml:space="preserve">Another key input to dairy farms </w:t>
      </w:r>
      <w:r w:rsidR="00BA5B1B">
        <w:t>that</w:t>
      </w:r>
      <w:r w:rsidR="00857AB3">
        <w:t xml:space="preserve"> contributes to net GHG emissions is N fertiliser. Figure</w:t>
      </w:r>
      <w:r w:rsidR="00606BAC">
        <w:t xml:space="preserve"> </w:t>
      </w:r>
      <w:r w:rsidR="007B3979">
        <w:t>31</w:t>
      </w:r>
      <w:r w:rsidR="00606BAC">
        <w:t xml:space="preserve"> illustrates the relationship between N fertiliser inputs (kg N</w:t>
      </w:r>
      <w:r w:rsidR="00A73DD2">
        <w:t xml:space="preserve">/ </w:t>
      </w:r>
      <w:r w:rsidR="00375CB8">
        <w:t>usable ha)</w:t>
      </w:r>
      <w:r w:rsidR="00A73DD2">
        <w:t xml:space="preserve"> and </w:t>
      </w:r>
      <w:r w:rsidR="00CB515D">
        <w:t>EI</w:t>
      </w:r>
      <w:r w:rsidR="00A73DD2">
        <w:t xml:space="preserve"> (kg CO</w:t>
      </w:r>
      <w:r w:rsidR="00A73DD2" w:rsidRPr="00AF45E4">
        <w:rPr>
          <w:vertAlign w:val="subscript"/>
        </w:rPr>
        <w:t>2</w:t>
      </w:r>
      <w:r w:rsidR="00A73DD2">
        <w:t>e/kg FPCM).</w:t>
      </w:r>
      <w:r w:rsidR="005A6A9B">
        <w:t xml:space="preserve"> Note </w:t>
      </w:r>
      <w:r w:rsidR="00EB389D">
        <w:t xml:space="preserve">that </w:t>
      </w:r>
      <w:r w:rsidR="005A6A9B">
        <w:t xml:space="preserve">usable hectares </w:t>
      </w:r>
      <w:r w:rsidR="00424EF8">
        <w:t xml:space="preserve">also </w:t>
      </w:r>
      <w:r w:rsidR="005A6A9B">
        <w:t>include runoff</w:t>
      </w:r>
      <w:r w:rsidR="00A24D24">
        <w:t>/</w:t>
      </w:r>
      <w:proofErr w:type="spellStart"/>
      <w:r w:rsidR="005A6A9B">
        <w:t>outblocks</w:t>
      </w:r>
      <w:proofErr w:type="spellEnd"/>
      <w:r w:rsidR="00944683">
        <w:t>,</w:t>
      </w:r>
      <w:r w:rsidR="005A6A9B">
        <w:t xml:space="preserve"> and thus the rate of N applied </w:t>
      </w:r>
      <w:r w:rsidR="004D1A81">
        <w:t xml:space="preserve">may be lower than applied to the milking platform. </w:t>
      </w:r>
    </w:p>
    <w:p w14:paraId="7AF04F35" w14:textId="31436A94" w:rsidR="00660B85" w:rsidRDefault="00C51410" w:rsidP="00F61210">
      <w:r>
        <w:t>There was a trend towards a slight increase in mean EIs as the rate of N fertiliser/ha increased</w:t>
      </w:r>
      <w:r w:rsidR="00E9526C">
        <w:t>. The lowest N fertiliser group (</w:t>
      </w:r>
      <w:r w:rsidR="009321B0">
        <w:t>&lt; 100 kg N/ha</w:t>
      </w:r>
      <w:r w:rsidR="00E9526C">
        <w:t>)</w:t>
      </w:r>
      <w:r w:rsidR="008E7A37">
        <w:t xml:space="preserve"> </w:t>
      </w:r>
      <w:r w:rsidR="00534349">
        <w:t xml:space="preserve">mean EI </w:t>
      </w:r>
      <w:r w:rsidR="008E7A37">
        <w:t xml:space="preserve">was </w:t>
      </w:r>
      <w:r w:rsidR="00534349">
        <w:t>0.92 kg CO</w:t>
      </w:r>
      <w:r w:rsidR="00534349" w:rsidRPr="00AF45E4">
        <w:rPr>
          <w:vertAlign w:val="subscript"/>
        </w:rPr>
        <w:t>2</w:t>
      </w:r>
      <w:r w:rsidR="00534349">
        <w:t>e/kg FPCM</w:t>
      </w:r>
      <w:r w:rsidR="008E7A37">
        <w:t xml:space="preserve">. Mean EI increased to </w:t>
      </w:r>
      <w:r w:rsidR="004A5022">
        <w:t>0.94 kg CO</w:t>
      </w:r>
      <w:r w:rsidR="004A5022" w:rsidRPr="0056410D">
        <w:rPr>
          <w:vertAlign w:val="subscript"/>
        </w:rPr>
        <w:t>2</w:t>
      </w:r>
      <w:r w:rsidR="004A5022">
        <w:t>e/kg FPCM for the next highest N fertiliser group, while there w</w:t>
      </w:r>
      <w:r w:rsidR="00A21785">
        <w:t xml:space="preserve">as no difference in EI with the two groups applying 200+ kg N/ha, at </w:t>
      </w:r>
      <w:r w:rsidR="00534349">
        <w:t>0.97 kg CO</w:t>
      </w:r>
      <w:r w:rsidR="00534349" w:rsidRPr="00AF45E4">
        <w:rPr>
          <w:vertAlign w:val="subscript"/>
        </w:rPr>
        <w:t>2</w:t>
      </w:r>
      <w:r w:rsidR="00AF45E4">
        <w:t>e</w:t>
      </w:r>
      <w:r w:rsidR="00534349">
        <w:t>/kg FPCM</w:t>
      </w:r>
      <w:r w:rsidR="00A21785">
        <w:t xml:space="preserve"> (Figure </w:t>
      </w:r>
      <w:r w:rsidR="00C32F3A">
        <w:t>31)</w:t>
      </w:r>
      <w:r w:rsidR="00A13EA6">
        <w:t>. However, f</w:t>
      </w:r>
      <w:r w:rsidR="00456E73">
        <w:t>arms</w:t>
      </w:r>
      <w:r w:rsidR="00641166">
        <w:t xml:space="preserve"> with reasonably high N fertiliser inputs (&gt; 200 kg N/usable ha)</w:t>
      </w:r>
      <w:r w:rsidR="00375CB8">
        <w:t xml:space="preserve"> can also </w:t>
      </w:r>
      <w:r w:rsidR="00C32F3A">
        <w:t xml:space="preserve">exhibit a </w:t>
      </w:r>
      <w:r w:rsidR="00375CB8">
        <w:t>lower</w:t>
      </w:r>
      <w:r w:rsidR="00442FD7">
        <w:t>-</w:t>
      </w:r>
      <w:r w:rsidR="00375CB8">
        <w:t>than</w:t>
      </w:r>
      <w:r w:rsidR="00442FD7">
        <w:t>-</w:t>
      </w:r>
      <w:r w:rsidR="00375CB8">
        <w:t xml:space="preserve">average EI. </w:t>
      </w:r>
      <w:r w:rsidR="00C32F3A">
        <w:t xml:space="preserve">It must be </w:t>
      </w:r>
      <w:r w:rsidR="0082624A">
        <w:t>concluded</w:t>
      </w:r>
      <w:r w:rsidR="00C32F3A">
        <w:t xml:space="preserve"> that </w:t>
      </w:r>
      <w:r w:rsidR="00375CB8">
        <w:t xml:space="preserve">these farms are </w:t>
      </w:r>
      <w:r w:rsidR="00B94AC8">
        <w:t xml:space="preserve">excellent at converting N fertiliser into </w:t>
      </w:r>
      <w:r w:rsidR="00907195">
        <w:t>high</w:t>
      </w:r>
      <w:r w:rsidR="00964AA6">
        <w:t>-</w:t>
      </w:r>
      <w:r w:rsidR="00907195">
        <w:t xml:space="preserve">quality </w:t>
      </w:r>
      <w:r w:rsidR="00B94AC8">
        <w:t>forage</w:t>
      </w:r>
      <w:r w:rsidR="00716FD4">
        <w:t>, which is efficien</w:t>
      </w:r>
      <w:r w:rsidR="00964AA6">
        <w:t>tly</w:t>
      </w:r>
      <w:r w:rsidR="00716FD4">
        <w:t xml:space="preserve"> grazed</w:t>
      </w:r>
      <w:r w:rsidR="00907195">
        <w:t>/conserved</w:t>
      </w:r>
      <w:r w:rsidR="00D44452">
        <w:t>,</w:t>
      </w:r>
      <w:r w:rsidR="00907195">
        <w:t xml:space="preserve"> </w:t>
      </w:r>
      <w:r w:rsidR="00716FD4">
        <w:t xml:space="preserve">and </w:t>
      </w:r>
      <w:r w:rsidR="00D765C7">
        <w:t xml:space="preserve">then </w:t>
      </w:r>
      <w:r w:rsidR="00716FD4">
        <w:t xml:space="preserve">converted into </w:t>
      </w:r>
      <w:r w:rsidR="00B94AC8">
        <w:t>milk production</w:t>
      </w:r>
      <w:r w:rsidR="00D44452">
        <w:t>,</w:t>
      </w:r>
      <w:r w:rsidR="00B94AC8">
        <w:t xml:space="preserve"> to dilute the </w:t>
      </w:r>
      <w:r w:rsidR="00917C08">
        <w:t xml:space="preserve">GHG </w:t>
      </w:r>
      <w:r w:rsidR="00B94AC8">
        <w:t xml:space="preserve">emissions associated with N fertiliser inputs. Conversely, low N </w:t>
      </w:r>
      <w:r w:rsidR="00917C08">
        <w:t xml:space="preserve">fertiliser inputs </w:t>
      </w:r>
      <w:r w:rsidR="00B94AC8">
        <w:t>do not necessarily result in a low EI</w:t>
      </w:r>
      <w:r w:rsidR="00F80EAB">
        <w:t xml:space="preserve">, given </w:t>
      </w:r>
      <w:r w:rsidR="00613B6D">
        <w:t xml:space="preserve">approx. </w:t>
      </w:r>
      <w:r w:rsidR="001E059D">
        <w:t xml:space="preserve">one </w:t>
      </w:r>
      <w:r w:rsidR="002109ED">
        <w:t xml:space="preserve">third of </w:t>
      </w:r>
      <w:r w:rsidR="00BB0C3D">
        <w:t xml:space="preserve">the </w:t>
      </w:r>
      <w:r w:rsidR="002109ED">
        <w:t>low</w:t>
      </w:r>
      <w:r w:rsidR="001E059D">
        <w:t>est</w:t>
      </w:r>
      <w:r w:rsidR="002109ED">
        <w:t xml:space="preserve"> N fertiliser </w:t>
      </w:r>
      <w:r w:rsidR="00907195">
        <w:t xml:space="preserve">rate group </w:t>
      </w:r>
      <w:r w:rsidR="00157C4F">
        <w:t xml:space="preserve">exhibited </w:t>
      </w:r>
      <w:r w:rsidR="002109ED">
        <w:t xml:space="preserve">an EI </w:t>
      </w:r>
      <w:r w:rsidR="00D37B6B">
        <w:t xml:space="preserve">greater than the </w:t>
      </w:r>
      <w:r w:rsidR="002109ED">
        <w:t>long-term average of 0.93 kg CO</w:t>
      </w:r>
      <w:r w:rsidR="002109ED" w:rsidRPr="00D37B6B">
        <w:rPr>
          <w:vertAlign w:val="subscript"/>
        </w:rPr>
        <w:t>2</w:t>
      </w:r>
      <w:r w:rsidR="002109ED">
        <w:t>e/kg FPCM.</w:t>
      </w:r>
      <w:r w:rsidR="004F0860">
        <w:t xml:space="preserve"> </w:t>
      </w:r>
      <w:r w:rsidR="0019396A">
        <w:t xml:space="preserve"> </w:t>
      </w:r>
    </w:p>
    <w:p w14:paraId="70D13F0B" w14:textId="77777777" w:rsidR="008A21C8" w:rsidRDefault="008A21C8" w:rsidP="00F61210"/>
    <w:p w14:paraId="22EC00D7" w14:textId="76DEC51C" w:rsidR="008A21C8" w:rsidRDefault="00EC439C" w:rsidP="00F61210">
      <w:r w:rsidRPr="00EC439C">
        <w:rPr>
          <w:noProof/>
        </w:rPr>
        <w:lastRenderedPageBreak/>
        <w:drawing>
          <wp:inline distT="0" distB="0" distL="0" distR="0" wp14:anchorId="5B3CC638" wp14:editId="34257EBE">
            <wp:extent cx="5731510" cy="3540760"/>
            <wp:effectExtent l="0" t="0" r="254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40760"/>
                    </a:xfrm>
                    <a:prstGeom prst="rect">
                      <a:avLst/>
                    </a:prstGeom>
                  </pic:spPr>
                </pic:pic>
              </a:graphicData>
            </a:graphic>
          </wp:inline>
        </w:drawing>
      </w:r>
    </w:p>
    <w:p w14:paraId="7E07053A" w14:textId="33DDE8E5" w:rsidR="00104E5A" w:rsidRPr="00DF3C40" w:rsidRDefault="00104E5A" w:rsidP="00F61210">
      <w:pPr>
        <w:sectPr w:rsidR="00104E5A" w:rsidRPr="00DF3C40" w:rsidSect="00150EC1">
          <w:pgSz w:w="11906" w:h="16838"/>
          <w:pgMar w:top="1440" w:right="1440" w:bottom="1440" w:left="1440" w:header="708" w:footer="708" w:gutter="0"/>
          <w:cols w:space="708"/>
          <w:docGrid w:linePitch="360"/>
        </w:sectPr>
      </w:pPr>
      <w:r>
        <w:rPr>
          <w:b/>
          <w:bCs/>
        </w:rPr>
        <w:t xml:space="preserve">Figure </w:t>
      </w:r>
      <w:r w:rsidR="00C50ED5">
        <w:rPr>
          <w:b/>
          <w:bCs/>
        </w:rPr>
        <w:t>3</w:t>
      </w:r>
      <w:r w:rsidR="00DA5DFA">
        <w:rPr>
          <w:b/>
          <w:bCs/>
        </w:rPr>
        <w:t>1</w:t>
      </w:r>
      <w:r>
        <w:rPr>
          <w:b/>
          <w:bCs/>
        </w:rPr>
        <w:t xml:space="preserve">. </w:t>
      </w:r>
      <w:r>
        <w:t>The relationship between N fertiliser inputs (kg N/usable hectare) and emissions intensity (kg CO</w:t>
      </w:r>
      <w:r w:rsidRPr="00D569B7">
        <w:rPr>
          <w:vertAlign w:val="subscript"/>
        </w:rPr>
        <w:t>2</w:t>
      </w:r>
      <w:r>
        <w:t xml:space="preserve">e/kg FPCM) </w:t>
      </w:r>
      <w:r w:rsidR="0070747B">
        <w:t>for four N fertiliser ranges. Low (&lt; 100 kg N/ha; blue circles),</w:t>
      </w:r>
      <w:r w:rsidR="004D1A81">
        <w:t xml:space="preserve"> </w:t>
      </w:r>
      <w:r w:rsidR="00424EF8">
        <w:t>medium (100-199 kg N/ha; orange diamonds), high (200-299 kg N/ha; green crosses)</w:t>
      </w:r>
      <w:r w:rsidR="00D44452">
        <w:t>,</w:t>
      </w:r>
      <w:r w:rsidR="00424EF8">
        <w:t xml:space="preserve"> and </w:t>
      </w:r>
      <w:r w:rsidR="00914A79">
        <w:t>very</w:t>
      </w:r>
      <w:r w:rsidR="00424EF8">
        <w:t xml:space="preserve"> high (&gt; 300 kg N/ha; purple triangles).</w:t>
      </w:r>
      <w:r w:rsidR="0019396A">
        <w:t xml:space="preserve"> </w:t>
      </w:r>
      <w:r>
        <w:rPr>
          <w:b/>
          <w:bCs/>
        </w:rPr>
        <w:t xml:space="preserve"> </w:t>
      </w:r>
    </w:p>
    <w:p w14:paraId="366ECD2B" w14:textId="41668D93" w:rsidR="000A7FDA" w:rsidRPr="00A67663" w:rsidRDefault="001E22E4" w:rsidP="000B6A94">
      <w:pPr>
        <w:pStyle w:val="Heading1"/>
        <w:numPr>
          <w:ilvl w:val="0"/>
          <w:numId w:val="34"/>
        </w:numPr>
        <w:tabs>
          <w:tab w:val="left" w:pos="567"/>
        </w:tabs>
        <w:spacing w:before="160" w:after="160" w:line="276" w:lineRule="auto"/>
        <w:ind w:hanging="3054"/>
      </w:pPr>
      <w:bookmarkStart w:id="4" w:name="_Toc116988447"/>
      <w:r w:rsidRPr="00A67663">
        <w:lastRenderedPageBreak/>
        <w:t>Resources</w:t>
      </w:r>
      <w:bookmarkEnd w:id="4"/>
    </w:p>
    <w:p w14:paraId="1DDF189B" w14:textId="7A10F2DC" w:rsidR="003529BB" w:rsidRPr="003529BB" w:rsidRDefault="003529BB" w:rsidP="00194937">
      <w:pPr>
        <w:spacing w:before="160" w:line="276" w:lineRule="auto"/>
        <w:rPr>
          <w:i/>
          <w:iCs/>
        </w:rPr>
      </w:pPr>
      <w:r>
        <w:rPr>
          <w:i/>
          <w:iCs/>
        </w:rPr>
        <w:t xml:space="preserve">General </w:t>
      </w:r>
      <w:r w:rsidR="0092661B">
        <w:rPr>
          <w:i/>
          <w:iCs/>
        </w:rPr>
        <w:t xml:space="preserve">resources not listed below in </w:t>
      </w:r>
      <w:r w:rsidR="00F95996">
        <w:rPr>
          <w:i/>
          <w:iCs/>
        </w:rPr>
        <w:t>abatement/</w:t>
      </w:r>
      <w:r w:rsidR="0092661B">
        <w:rPr>
          <w:i/>
          <w:iCs/>
        </w:rPr>
        <w:t>mitigation option reviews</w:t>
      </w:r>
    </w:p>
    <w:p w14:paraId="7A2F10E1" w14:textId="1B9C629F" w:rsidR="00686610" w:rsidRDefault="00686610" w:rsidP="00194937">
      <w:pPr>
        <w:spacing w:before="160" w:line="276" w:lineRule="auto"/>
      </w:pPr>
      <w:r>
        <w:t xml:space="preserve">Agriculture Victoria (2022) Soil Carbon Snapshot </w:t>
      </w:r>
      <w:hyperlink r:id="rId21" w:history="1">
        <w:r w:rsidRPr="002A2538">
          <w:rPr>
            <w:rStyle w:val="Hyperlink"/>
          </w:rPr>
          <w:t>https://agriculture.vic.gov.au/__data/assets/pdf_file/0006/857607/Soil-Carbon-Snapshot-updated-May-2022.pdf</w:t>
        </w:r>
      </w:hyperlink>
      <w:r>
        <w:t xml:space="preserve"> </w:t>
      </w:r>
    </w:p>
    <w:p w14:paraId="0BA641B6" w14:textId="2588BF1E" w:rsidR="00CE4D02" w:rsidRDefault="00CE4D02" w:rsidP="00194937">
      <w:pPr>
        <w:spacing w:before="160" w:line="276" w:lineRule="auto"/>
      </w:pPr>
      <w:r>
        <w:t>Dairy Australia’s Land, Water</w:t>
      </w:r>
      <w:r w:rsidR="00E44DAD">
        <w:t>,</w:t>
      </w:r>
      <w:r>
        <w:t xml:space="preserve"> and Climate website</w:t>
      </w:r>
      <w:r w:rsidR="00A22F72">
        <w:t xml:space="preserve"> </w:t>
      </w:r>
      <w:hyperlink r:id="rId22" w:history="1">
        <w:r w:rsidR="00A22F72" w:rsidRPr="00776D76">
          <w:rPr>
            <w:rStyle w:val="Hyperlink"/>
          </w:rPr>
          <w:t>https://www.dairyaustralia.com.au/land-water-and-climate</w:t>
        </w:r>
      </w:hyperlink>
      <w:r w:rsidR="00A22F72">
        <w:t xml:space="preserve"> </w:t>
      </w:r>
    </w:p>
    <w:p w14:paraId="25D5C16A" w14:textId="784F0CAD" w:rsidR="00621F87" w:rsidRDefault="00E50578" w:rsidP="00194937">
      <w:pPr>
        <w:spacing w:before="160" w:line="276" w:lineRule="auto"/>
      </w:pPr>
      <w:r>
        <w:t xml:space="preserve">Dairy Australia reducing emissions website </w:t>
      </w:r>
      <w:hyperlink r:id="rId23" w:history="1">
        <w:r w:rsidR="00F6624F" w:rsidRPr="000A6879">
          <w:rPr>
            <w:rStyle w:val="Hyperlink"/>
          </w:rPr>
          <w:t>https://www.dairy.com.au/sustainability/reducing-environmental-impact/reducing-emissions</w:t>
        </w:r>
      </w:hyperlink>
      <w:r>
        <w:t xml:space="preserve"> </w:t>
      </w:r>
    </w:p>
    <w:p w14:paraId="369118E2" w14:textId="21248A2B" w:rsidR="00621F87" w:rsidRDefault="00393C0F" w:rsidP="00194937">
      <w:pPr>
        <w:spacing w:before="160" w:line="276" w:lineRule="auto"/>
      </w:pPr>
      <w:r>
        <w:t xml:space="preserve">Dairy Australia Fert$mart </w:t>
      </w:r>
      <w:r w:rsidR="003B63D7">
        <w:t xml:space="preserve">manual </w:t>
      </w:r>
      <w:hyperlink r:id="rId24" w:history="1">
        <w:r w:rsidR="003B63D7" w:rsidRPr="000A6879">
          <w:rPr>
            <w:rStyle w:val="Hyperlink"/>
          </w:rPr>
          <w:t>https://www.dairy.com.au/sustainability/reducing-environmental-impact/reducing-emissions</w:t>
        </w:r>
      </w:hyperlink>
      <w:r w:rsidR="003B63D7">
        <w:t xml:space="preserve"> </w:t>
      </w:r>
    </w:p>
    <w:p w14:paraId="1A0A11C8" w14:textId="6371DEB4" w:rsidR="00621F87" w:rsidRDefault="001E22E4" w:rsidP="00194937">
      <w:pPr>
        <w:spacing w:before="160" w:line="276" w:lineRule="auto"/>
      </w:pPr>
      <w:r>
        <w:t xml:space="preserve">Fert$mart </w:t>
      </w:r>
      <w:r w:rsidR="00621F87">
        <w:t>Nitrogen Guidelines</w:t>
      </w:r>
      <w:r w:rsidR="00044FA9">
        <w:t xml:space="preserve">: Best management practice </w:t>
      </w:r>
      <w:hyperlink r:id="rId25" w:anchor=".YfH1tepBwnI" w:history="1">
        <w:r w:rsidR="00044FA9" w:rsidRPr="000A6879">
          <w:rPr>
            <w:rStyle w:val="Hyperlink"/>
          </w:rPr>
          <w:t>https://www.dairyaustralia.com.au/resource-repository/2021/06/24/fert$mart-nitrogen-guidelines---best-management-practice#.YfH1tepBwnI</w:t>
        </w:r>
      </w:hyperlink>
      <w:r w:rsidR="00044FA9">
        <w:t xml:space="preserve"> </w:t>
      </w:r>
    </w:p>
    <w:p w14:paraId="61D05984" w14:textId="223DD1F6" w:rsidR="00621F87" w:rsidRPr="001E22E4" w:rsidRDefault="00621F87" w:rsidP="00194937">
      <w:pPr>
        <w:spacing w:before="160" w:line="276" w:lineRule="auto"/>
      </w:pPr>
      <w:r>
        <w:t xml:space="preserve">Fert$mart Nitrogen </w:t>
      </w:r>
      <w:r w:rsidR="00593994">
        <w:t>Pocket Guide</w:t>
      </w:r>
      <w:r w:rsidR="001F729E">
        <w:t xml:space="preserve"> </w:t>
      </w:r>
      <w:hyperlink r:id="rId26" w:anchor=".YfH1ROpBwnI" w:history="1">
        <w:r w:rsidR="001F729E" w:rsidRPr="000A6879">
          <w:rPr>
            <w:rStyle w:val="Hyperlink"/>
          </w:rPr>
          <w:t>https://www.dairyaustralia.com.au/resource-repository/2021/06/24/fert$mart-nitrogen-pocket-guide#.YfH1ROpBwnI</w:t>
        </w:r>
      </w:hyperlink>
      <w:r w:rsidR="001F729E">
        <w:t xml:space="preserve"> </w:t>
      </w:r>
    </w:p>
    <w:p w14:paraId="479E4273" w14:textId="03D768B5" w:rsidR="000A7FDA" w:rsidRDefault="00213663" w:rsidP="00194937">
      <w:pPr>
        <w:spacing w:before="160" w:line="276" w:lineRule="auto"/>
      </w:pPr>
      <w:r>
        <w:t>Moss</w:t>
      </w:r>
      <w:r w:rsidR="00331409">
        <w:t xml:space="preserve">, A. (2020) Database of nutrient content of Australian feed ingredients. </w:t>
      </w:r>
      <w:hyperlink r:id="rId27" w:history="1">
        <w:r w:rsidR="00331409" w:rsidRPr="007F56F8">
          <w:rPr>
            <w:rStyle w:val="Hyperlink"/>
          </w:rPr>
          <w:t>https://agrifutures.com.au/wp-content/uploads/2020/09/20-078.pdf</w:t>
        </w:r>
      </w:hyperlink>
      <w:r w:rsidR="00331409">
        <w:t xml:space="preserve"> </w:t>
      </w:r>
    </w:p>
    <w:p w14:paraId="79D88B1E" w14:textId="77777777" w:rsidR="00C3083D" w:rsidRDefault="00C3083D" w:rsidP="00194937">
      <w:pPr>
        <w:spacing w:before="160" w:line="276" w:lineRule="auto"/>
      </w:pPr>
    </w:p>
    <w:p w14:paraId="7B426D73" w14:textId="74332C7F" w:rsidR="00A032D4" w:rsidRDefault="00F95996" w:rsidP="00194937">
      <w:pPr>
        <w:spacing w:before="160" w:line="276" w:lineRule="auto"/>
        <w:rPr>
          <w:i/>
          <w:iCs/>
        </w:rPr>
      </w:pPr>
      <w:r>
        <w:rPr>
          <w:i/>
          <w:iCs/>
        </w:rPr>
        <w:t xml:space="preserve">Abatement </w:t>
      </w:r>
      <w:r w:rsidR="00A032D4" w:rsidRPr="00A032D4">
        <w:rPr>
          <w:i/>
          <w:iCs/>
        </w:rPr>
        <w:t>option reviews</w:t>
      </w:r>
    </w:p>
    <w:p w14:paraId="75004679" w14:textId="05DADDD5" w:rsidR="00067711" w:rsidRPr="00067711" w:rsidRDefault="00067711" w:rsidP="00194937">
      <w:pPr>
        <w:spacing w:before="160" w:line="276" w:lineRule="auto"/>
      </w:pPr>
      <w:r>
        <w:t xml:space="preserve">There are many reviews of </w:t>
      </w:r>
      <w:r w:rsidR="00F95996">
        <w:t>abatement</w:t>
      </w:r>
      <w:r>
        <w:t xml:space="preserve"> options for ruminant livestock, therefore the listing below is not exhaustive. </w:t>
      </w:r>
    </w:p>
    <w:p w14:paraId="49DF9E94" w14:textId="36DC6991" w:rsidR="002D7DAA" w:rsidRDefault="002D7DAA" w:rsidP="00194937">
      <w:pPr>
        <w:spacing w:before="160" w:line="276" w:lineRule="auto"/>
        <w:ind w:left="284" w:hanging="284"/>
      </w:pPr>
      <w:r>
        <w:t xml:space="preserve">Beauchemin KA, </w:t>
      </w:r>
      <w:proofErr w:type="spellStart"/>
      <w:r>
        <w:t>Ungerfeld</w:t>
      </w:r>
      <w:proofErr w:type="spellEnd"/>
      <w:r>
        <w:t xml:space="preserve"> EM, </w:t>
      </w:r>
      <w:r w:rsidR="00F82C98">
        <w:t>Eckard</w:t>
      </w:r>
      <w:r>
        <w:t xml:space="preserve"> R</w:t>
      </w:r>
      <w:r w:rsidR="00F82C98">
        <w:t>J</w:t>
      </w:r>
      <w:r>
        <w:t>, Wang M (</w:t>
      </w:r>
      <w:r w:rsidR="00F82C98">
        <w:t xml:space="preserve">2020) Review: Fifty years of research on rumen methanogenesis: lessons learned and future challenges for mitigation. </w:t>
      </w:r>
      <w:r w:rsidR="00F82C98">
        <w:rPr>
          <w:i/>
          <w:iCs/>
        </w:rPr>
        <w:t xml:space="preserve">Animal </w:t>
      </w:r>
      <w:proofErr w:type="gramStart"/>
      <w:r w:rsidR="00283B26">
        <w:rPr>
          <w:b/>
          <w:bCs/>
        </w:rPr>
        <w:t>14:S</w:t>
      </w:r>
      <w:proofErr w:type="gramEnd"/>
      <w:r w:rsidR="00283B26">
        <w:rPr>
          <w:b/>
          <w:bCs/>
        </w:rPr>
        <w:t>1</w:t>
      </w:r>
      <w:r w:rsidR="00283B26">
        <w:t xml:space="preserve">, s2-s16. </w:t>
      </w:r>
      <w:hyperlink r:id="rId28" w:history="1">
        <w:r w:rsidR="00E500EA" w:rsidRPr="00AD4335">
          <w:rPr>
            <w:rStyle w:val="Hyperlink"/>
          </w:rPr>
          <w:t>https://www.cambridge.org/core/journals/animal/article/review-fifty-years-of-research-on-rumen-methanogenesis-lessons-learned-and-future-challenges-for-mitigation/8F7537B81CBDA633F48663C1ACF33036</w:t>
        </w:r>
      </w:hyperlink>
      <w:r w:rsidR="00E500EA">
        <w:t xml:space="preserve"> </w:t>
      </w:r>
    </w:p>
    <w:p w14:paraId="40CAB65E" w14:textId="3F537C1F" w:rsidR="00B17E01" w:rsidRPr="00283B26" w:rsidRDefault="00B17E01" w:rsidP="00194937">
      <w:pPr>
        <w:spacing w:before="160" w:line="276" w:lineRule="auto"/>
        <w:ind w:left="284" w:hanging="284"/>
      </w:pPr>
      <w:r>
        <w:t>Black JL, Davison TM, Box I (</w:t>
      </w:r>
      <w:r w:rsidR="00C269D3">
        <w:t xml:space="preserve">2021) Methane emissions from ruminants in Australia: Mitigation potential and applicability of mitigation strategies. </w:t>
      </w:r>
      <w:r w:rsidR="00BD27A0">
        <w:rPr>
          <w:i/>
          <w:iCs/>
        </w:rPr>
        <w:t xml:space="preserve">Animals </w:t>
      </w:r>
      <w:r w:rsidR="00BD27A0">
        <w:rPr>
          <w:b/>
          <w:bCs/>
        </w:rPr>
        <w:t>11</w:t>
      </w:r>
      <w:r w:rsidR="00BD27A0">
        <w:t xml:space="preserve">, 951. </w:t>
      </w:r>
      <w:hyperlink r:id="rId29" w:history="1">
        <w:r w:rsidR="00F93334" w:rsidRPr="00AD4335">
          <w:rPr>
            <w:rStyle w:val="Hyperlink"/>
          </w:rPr>
          <w:t>https://www.mdpi.com/2076-2615/11/4/951</w:t>
        </w:r>
      </w:hyperlink>
      <w:r>
        <w:t xml:space="preserve"> </w:t>
      </w:r>
    </w:p>
    <w:p w14:paraId="3DF8E097" w14:textId="38485487" w:rsidR="0023168A" w:rsidRPr="0023168A" w:rsidRDefault="0023168A" w:rsidP="00194937">
      <w:pPr>
        <w:spacing w:before="160" w:line="276" w:lineRule="auto"/>
        <w:ind w:left="284" w:hanging="284"/>
      </w:pPr>
      <w:r>
        <w:t xml:space="preserve">Eckard RJ, Clarke H (2018) Potential solutions to the major greenhouse-gas issues facing Australasian dairy farming. </w:t>
      </w:r>
      <w:r>
        <w:rPr>
          <w:i/>
          <w:iCs/>
        </w:rPr>
        <w:t xml:space="preserve">Animal Production Science </w:t>
      </w:r>
      <w:r>
        <w:rPr>
          <w:b/>
          <w:bCs/>
        </w:rPr>
        <w:t>60</w:t>
      </w:r>
      <w:r>
        <w:t xml:space="preserve">, 10-15. </w:t>
      </w:r>
      <w:hyperlink r:id="rId30" w:history="1">
        <w:r w:rsidR="00554AB2" w:rsidRPr="00AD4335">
          <w:rPr>
            <w:rStyle w:val="Hyperlink"/>
          </w:rPr>
          <w:t>https://www.publish.csiro.au/AN/AN18574</w:t>
        </w:r>
      </w:hyperlink>
      <w:r w:rsidR="00554AB2">
        <w:t xml:space="preserve"> </w:t>
      </w:r>
    </w:p>
    <w:p w14:paraId="6E2B353B" w14:textId="60B5EAAD" w:rsidR="00A032D4" w:rsidRDefault="00A032D4" w:rsidP="00194937">
      <w:pPr>
        <w:spacing w:before="160" w:line="276" w:lineRule="auto"/>
        <w:ind w:left="284" w:hanging="284"/>
      </w:pPr>
      <w:r w:rsidRPr="00F46224">
        <w:t>Eckard</w:t>
      </w:r>
      <w:r>
        <w:t xml:space="preserve"> </w:t>
      </w:r>
      <w:r w:rsidRPr="00F46224">
        <w:t>RJ, Grainger C, de Klein</w:t>
      </w:r>
      <w:r>
        <w:t xml:space="preserve"> </w:t>
      </w:r>
      <w:r w:rsidRPr="00F46224">
        <w:t>CAM</w:t>
      </w:r>
      <w:r>
        <w:t xml:space="preserve"> (</w:t>
      </w:r>
      <w:r w:rsidRPr="00F46224">
        <w:t>2010</w:t>
      </w:r>
      <w:r>
        <w:t>)</w:t>
      </w:r>
      <w:r w:rsidRPr="00F46224">
        <w:t xml:space="preserve"> Options for the abatement of methane and nitrous oxide from ruminant production – a review. </w:t>
      </w:r>
      <w:r w:rsidRPr="00FA7761">
        <w:rPr>
          <w:i/>
          <w:iCs/>
        </w:rPr>
        <w:t>Livestock Science</w:t>
      </w:r>
      <w:r w:rsidRPr="00FA7761">
        <w:t xml:space="preserve"> </w:t>
      </w:r>
      <w:r w:rsidRPr="00FA7761">
        <w:rPr>
          <w:b/>
          <w:bCs/>
        </w:rPr>
        <w:t>130</w:t>
      </w:r>
      <w:r>
        <w:t>,</w:t>
      </w:r>
      <w:r w:rsidRPr="00F46224">
        <w:t xml:space="preserve"> 47-56</w:t>
      </w:r>
      <w:r>
        <w:t>.</w:t>
      </w:r>
      <w:r w:rsidR="00187D3C">
        <w:t xml:space="preserve"> </w:t>
      </w:r>
      <w:hyperlink r:id="rId31" w:history="1">
        <w:r w:rsidR="00187D3C" w:rsidRPr="00AD4335">
          <w:rPr>
            <w:rStyle w:val="Hyperlink"/>
          </w:rPr>
          <w:t>https://www.sciencedirect.com/science/article/pii/S1871141310000739</w:t>
        </w:r>
      </w:hyperlink>
      <w:r w:rsidR="00187D3C">
        <w:t xml:space="preserve"> </w:t>
      </w:r>
    </w:p>
    <w:p w14:paraId="2ED6A3D9" w14:textId="583A4E5F" w:rsidR="001E4C5F" w:rsidRDefault="001E4C5F" w:rsidP="00194937">
      <w:pPr>
        <w:spacing w:before="160" w:line="276" w:lineRule="auto"/>
        <w:ind w:left="284" w:hanging="284"/>
      </w:pPr>
      <w:r w:rsidRPr="001A2767">
        <w:lastRenderedPageBreak/>
        <w:t xml:space="preserve">Gerber PJ, Steinfeld H, Henderson B, Mottet A, Opio C, </w:t>
      </w:r>
      <w:proofErr w:type="spellStart"/>
      <w:r w:rsidRPr="001A2767">
        <w:t>Dijk</w:t>
      </w:r>
      <w:r>
        <w:t>man</w:t>
      </w:r>
      <w:proofErr w:type="spellEnd"/>
      <w:r w:rsidRPr="001A2767">
        <w:t xml:space="preserve"> J, </w:t>
      </w:r>
      <w:proofErr w:type="spellStart"/>
      <w:r w:rsidRPr="001A2767">
        <w:t>Falcucci</w:t>
      </w:r>
      <w:proofErr w:type="spellEnd"/>
      <w:r w:rsidRPr="001A2767">
        <w:t xml:space="preserve"> A, Tempio G (2013) Tackling climate change through livestock- A global assessment of emissions and mitigation opportunities. (Food and Agriculture Organization of the United Nations (FAO): Rome, Italy). </w:t>
      </w:r>
      <w:hyperlink r:id="rId32" w:history="1">
        <w:r w:rsidR="00160463" w:rsidRPr="00AD4335">
          <w:rPr>
            <w:rStyle w:val="Hyperlink"/>
          </w:rPr>
          <w:t>https://www.fao.org/3/a0701e/a0701e.pdf</w:t>
        </w:r>
      </w:hyperlink>
      <w:r w:rsidR="00160463">
        <w:t xml:space="preserve"> </w:t>
      </w:r>
    </w:p>
    <w:p w14:paraId="4FDD7FC2" w14:textId="63FBBBB5" w:rsidR="000959EB" w:rsidRDefault="00167873" w:rsidP="00194937">
      <w:pPr>
        <w:spacing w:before="160" w:line="276" w:lineRule="auto"/>
        <w:ind w:left="284" w:hanging="284"/>
      </w:pPr>
      <w:r>
        <w:t>Harrison MT, Cullen BR, Mayberry DE, Cowie AL, Bilotto F, Badgery WB, Liu K, Davison T, Christie KM, Muleke A, Eckard RJ (2021) Carbon myopia: The urgent need for integ</w:t>
      </w:r>
      <w:r w:rsidR="00FA6E43">
        <w:t xml:space="preserve">rated social, </w:t>
      </w:r>
      <w:proofErr w:type="gramStart"/>
      <w:r w:rsidR="00FA6E43">
        <w:t>economic</w:t>
      </w:r>
      <w:proofErr w:type="gramEnd"/>
      <w:r w:rsidR="00FA6E43">
        <w:t xml:space="preserve"> and environmental action in the livestock sector. </w:t>
      </w:r>
      <w:r w:rsidR="00FA6E43">
        <w:rPr>
          <w:i/>
          <w:iCs/>
        </w:rPr>
        <w:t xml:space="preserve">Global Change Biology </w:t>
      </w:r>
      <w:r w:rsidR="00BA0094">
        <w:rPr>
          <w:b/>
          <w:bCs/>
        </w:rPr>
        <w:t>27</w:t>
      </w:r>
      <w:r w:rsidR="00BA0094">
        <w:t>, 5726-5761.</w:t>
      </w:r>
      <w:r w:rsidR="00C45F7F">
        <w:t xml:space="preserve"> </w:t>
      </w:r>
      <w:hyperlink r:id="rId33" w:history="1">
        <w:r w:rsidRPr="00AD4335">
          <w:rPr>
            <w:rStyle w:val="Hyperlink"/>
          </w:rPr>
          <w:t>https://onlinelibrary.wiley.com/doi/full/10.1111/gcb.15816</w:t>
        </w:r>
      </w:hyperlink>
      <w:r w:rsidR="000959EB">
        <w:t xml:space="preserve"> </w:t>
      </w:r>
    </w:p>
    <w:p w14:paraId="0364AAA4" w14:textId="052D1DA3" w:rsidR="00187D3C" w:rsidRDefault="00226369" w:rsidP="00194937">
      <w:pPr>
        <w:spacing w:before="160" w:line="276" w:lineRule="auto"/>
        <w:ind w:left="284" w:hanging="284"/>
      </w:pPr>
      <w:r>
        <w:t>Hristov AN, Oh</w:t>
      </w:r>
      <w:r w:rsidR="00D67A79">
        <w:t xml:space="preserve"> J, Lee C, Meinen R, Montes F, Ott T, Firkins J, Rotz A, Dell C, </w:t>
      </w:r>
      <w:proofErr w:type="spellStart"/>
      <w:r w:rsidR="00D67A79">
        <w:t>Adesogan</w:t>
      </w:r>
      <w:proofErr w:type="spellEnd"/>
      <w:r w:rsidR="00D67A79">
        <w:t xml:space="preserve"> A, Yang W, Tricarico J, </w:t>
      </w:r>
      <w:proofErr w:type="spellStart"/>
      <w:r w:rsidR="00D67A79">
        <w:t>Kebreab</w:t>
      </w:r>
      <w:proofErr w:type="spellEnd"/>
      <w:r w:rsidR="00D67A79">
        <w:t xml:space="preserve"> </w:t>
      </w:r>
      <w:r w:rsidR="00971E95">
        <w:t>E</w:t>
      </w:r>
      <w:r w:rsidR="00D67A79">
        <w:t>, Waghorn G, Dijkstra J, Oosting S (2013) Mitigation of greenhouse gas emissions in livestock production- A review of technical options for non-CO</w:t>
      </w:r>
      <w:r w:rsidR="00D67A79" w:rsidRPr="00EC036F">
        <w:rPr>
          <w:vertAlign w:val="subscript"/>
        </w:rPr>
        <w:t>2</w:t>
      </w:r>
      <w:r w:rsidR="00D67A79">
        <w:t xml:space="preserve"> emissions. </w:t>
      </w:r>
      <w:hyperlink r:id="rId34" w:history="1">
        <w:r w:rsidR="001E1D77" w:rsidRPr="00AD4335">
          <w:rPr>
            <w:rStyle w:val="Hyperlink"/>
          </w:rPr>
          <w:t>https://www.fao.org/publications/card/en/c/87178c51-d4d1-515d-9d0e-b5a6937fa631/</w:t>
        </w:r>
      </w:hyperlink>
      <w:r w:rsidR="001E1D77">
        <w:t xml:space="preserve"> </w:t>
      </w:r>
    </w:p>
    <w:p w14:paraId="735063C1" w14:textId="0B290B33" w:rsidR="00263731" w:rsidRDefault="00263731" w:rsidP="00194937">
      <w:pPr>
        <w:spacing w:before="160" w:line="276" w:lineRule="auto"/>
        <w:ind w:left="284" w:hanging="284"/>
      </w:pPr>
      <w:r>
        <w:t xml:space="preserve">Hristov AN, Oh J, Firkins </w:t>
      </w:r>
      <w:r w:rsidR="00971E95">
        <w:t xml:space="preserve">JL, Dijkstra J, </w:t>
      </w:r>
      <w:proofErr w:type="spellStart"/>
      <w:r w:rsidR="00971E95">
        <w:t>Kebreab</w:t>
      </w:r>
      <w:proofErr w:type="spellEnd"/>
      <w:r w:rsidR="00971E95">
        <w:t xml:space="preserve"> E, Waghorn G, Makkar HPS, </w:t>
      </w:r>
      <w:proofErr w:type="spellStart"/>
      <w:r w:rsidR="00971E95">
        <w:t>Ade</w:t>
      </w:r>
      <w:r w:rsidR="00952215">
        <w:t>sogan</w:t>
      </w:r>
      <w:proofErr w:type="spellEnd"/>
      <w:r w:rsidR="00952215">
        <w:t xml:space="preserve"> AT, Yang W, Lee C, Gerber PJ, Henderson B, Tricarico JM (2013) SPECIAL TOPICS- Mitigation of methane and nitrous oxide emissions from animal operations: </w:t>
      </w:r>
      <w:r w:rsidR="00623923">
        <w:t xml:space="preserve">I. A review of enteric methane operations. </w:t>
      </w:r>
      <w:r w:rsidR="00623923">
        <w:rPr>
          <w:i/>
          <w:iCs/>
        </w:rPr>
        <w:t xml:space="preserve">Journal of Animal Science </w:t>
      </w:r>
      <w:r w:rsidR="00A12864">
        <w:rPr>
          <w:b/>
          <w:bCs/>
        </w:rPr>
        <w:t>91</w:t>
      </w:r>
      <w:r w:rsidR="00A12864">
        <w:t>, 5045-5069.</w:t>
      </w:r>
      <w:r w:rsidR="00DA6BC0">
        <w:t xml:space="preserve"> </w:t>
      </w:r>
      <w:hyperlink r:id="rId35" w:history="1">
        <w:r w:rsidR="00DA6BC0" w:rsidRPr="00AD4335">
          <w:rPr>
            <w:rStyle w:val="Hyperlink"/>
          </w:rPr>
          <w:t>https://academic.oup.com/jas/article/91/11/5045/4731308</w:t>
        </w:r>
      </w:hyperlink>
      <w:r w:rsidR="00DA6BC0">
        <w:t xml:space="preserve"> </w:t>
      </w:r>
    </w:p>
    <w:p w14:paraId="409F5A73" w14:textId="4A362D1C" w:rsidR="00E04DF6" w:rsidRDefault="00E04DF6" w:rsidP="00194937">
      <w:pPr>
        <w:spacing w:before="160" w:line="276" w:lineRule="auto"/>
        <w:ind w:left="284" w:hanging="284"/>
      </w:pPr>
      <w:r>
        <w:t xml:space="preserve">Hristov AN, </w:t>
      </w:r>
      <w:r w:rsidR="0080672A">
        <w:t>Ott T</w:t>
      </w:r>
      <w:r>
        <w:t>, Tricarico JM, Rotz A, Waghorn G,</w:t>
      </w:r>
      <w:r w:rsidRPr="00E04DF6">
        <w:t xml:space="preserve"> </w:t>
      </w:r>
      <w:proofErr w:type="spellStart"/>
      <w:r>
        <w:t>Adesogan</w:t>
      </w:r>
      <w:proofErr w:type="spellEnd"/>
      <w:r>
        <w:t xml:space="preserve"> A, Dijkstra J, Montes F, </w:t>
      </w:r>
      <w:r w:rsidR="0080672A">
        <w:t xml:space="preserve">Oh J, </w:t>
      </w:r>
      <w:proofErr w:type="spellStart"/>
      <w:r w:rsidR="0080672A">
        <w:t>Kebreab</w:t>
      </w:r>
      <w:proofErr w:type="spellEnd"/>
      <w:r w:rsidR="0080672A">
        <w:t xml:space="preserve"> E, Oosting SJ, Gerber PJ, </w:t>
      </w:r>
      <w:r w:rsidR="00F66821">
        <w:t xml:space="preserve">Henderson B, Makkar HPS, Firkins JL (2013) </w:t>
      </w:r>
      <w:r>
        <w:t>SPECIAL TOPICS- Mitigation of methane and nitrous oxide emissions from animal operations: I</w:t>
      </w:r>
      <w:r w:rsidR="00F66821">
        <w:t>II</w:t>
      </w:r>
      <w:r>
        <w:t xml:space="preserve">. A review of </w:t>
      </w:r>
      <w:r w:rsidR="00F66821">
        <w:t>animal management mitigation options</w:t>
      </w:r>
      <w:r>
        <w:t xml:space="preserve">. </w:t>
      </w:r>
      <w:r>
        <w:rPr>
          <w:i/>
          <w:iCs/>
        </w:rPr>
        <w:t xml:space="preserve">Journal of Animal Science </w:t>
      </w:r>
      <w:r>
        <w:rPr>
          <w:b/>
          <w:bCs/>
        </w:rPr>
        <w:t>91</w:t>
      </w:r>
      <w:r>
        <w:t>, 50</w:t>
      </w:r>
      <w:r w:rsidR="00352E7E">
        <w:t>95</w:t>
      </w:r>
      <w:r>
        <w:t>-5</w:t>
      </w:r>
      <w:r w:rsidR="00352E7E">
        <w:t>113</w:t>
      </w:r>
      <w:r>
        <w:t>.</w:t>
      </w:r>
      <w:r w:rsidR="00352E7E">
        <w:t xml:space="preserve"> </w:t>
      </w:r>
      <w:hyperlink r:id="rId36" w:history="1">
        <w:r w:rsidR="00352E7E" w:rsidRPr="00AD4335">
          <w:rPr>
            <w:rStyle w:val="Hyperlink"/>
          </w:rPr>
          <w:t>https://academic.oup.com/jas/article/91/11/5095/4731330</w:t>
        </w:r>
      </w:hyperlink>
      <w:r w:rsidR="00352E7E">
        <w:t xml:space="preserve"> </w:t>
      </w:r>
    </w:p>
    <w:p w14:paraId="1B6D720D" w14:textId="206F5393" w:rsidR="00E43D71" w:rsidRDefault="00E43D71" w:rsidP="00194937">
      <w:pPr>
        <w:spacing w:before="160" w:line="276" w:lineRule="auto"/>
        <w:ind w:left="284" w:hanging="284"/>
      </w:pPr>
      <w:r>
        <w:t xml:space="preserve">Llonch P, Haskell MJ, Dewhurst RJ, Turner SP (2017) Review: current available strategies to mitigate greenhouse gas emission in livestock systems: an animal welfare perspective. </w:t>
      </w:r>
      <w:r>
        <w:rPr>
          <w:i/>
          <w:iCs/>
        </w:rPr>
        <w:t xml:space="preserve">Animal </w:t>
      </w:r>
      <w:r w:rsidR="004B5B36">
        <w:rPr>
          <w:b/>
          <w:bCs/>
        </w:rPr>
        <w:t>11</w:t>
      </w:r>
      <w:r w:rsidR="004B5B36">
        <w:t xml:space="preserve">, 272-284. </w:t>
      </w:r>
      <w:hyperlink r:id="rId37" w:history="1">
        <w:r w:rsidR="004B5B36" w:rsidRPr="00AD4335">
          <w:rPr>
            <w:rStyle w:val="Hyperlink"/>
          </w:rPr>
          <w:t>https://www.cambridge.org/core/services/aop-cambridge-core/content/view/2C1E6F2AA8B6608B9B5C49544EEB26F4/S1751731116001440a.pdf/current-available-strategies-to-mitigate-greenhouse-gas-emissions-in-livestock-systems-an-animal-welfare-perspective.pdf</w:t>
        </w:r>
      </w:hyperlink>
      <w:r w:rsidR="004B5B36">
        <w:t xml:space="preserve"> </w:t>
      </w:r>
    </w:p>
    <w:p w14:paraId="69E5E6D2" w14:textId="33D4FDE0" w:rsidR="008E5E10" w:rsidRPr="004B5B36" w:rsidRDefault="008E5E10" w:rsidP="00194937">
      <w:pPr>
        <w:spacing w:before="160" w:line="276" w:lineRule="auto"/>
        <w:ind w:left="284" w:hanging="284"/>
      </w:pPr>
      <w:r>
        <w:t xml:space="preserve">Min BR, Solaiman S, Waldrip HM, Parker D, Todd RW, Brauer D (2020) Dietary mitigation of enteric methane emissions from ruminants: A review of plant tannin mitigation options. </w:t>
      </w:r>
      <w:r>
        <w:rPr>
          <w:i/>
          <w:iCs/>
        </w:rPr>
        <w:t xml:space="preserve">Animal Nutrition </w:t>
      </w:r>
      <w:r>
        <w:rPr>
          <w:b/>
          <w:bCs/>
        </w:rPr>
        <w:t>6</w:t>
      </w:r>
      <w:r>
        <w:t>, 231-246.</w:t>
      </w:r>
      <w:r w:rsidRPr="008E5E10">
        <w:t xml:space="preserve"> </w:t>
      </w:r>
      <w:hyperlink r:id="rId38" w:history="1">
        <w:r w:rsidRPr="005711A8">
          <w:rPr>
            <w:rStyle w:val="Hyperlink"/>
          </w:rPr>
          <w:t>https://reader.elsevier.com/reader/sd/pii/S2405654520300706?token=4113F5241001D734B17EB067E8A665DA98A9B4DB00CF0D2264E4708B879AEFB550EC7EDC61A4FB66DF7A5B40D61D2A2E&amp;originRegion=us-east-1&amp;originCreation=20220318052754</w:t>
        </w:r>
      </w:hyperlink>
    </w:p>
    <w:p w14:paraId="42D05530" w14:textId="48AA2F87" w:rsidR="00791026" w:rsidRDefault="00F32959" w:rsidP="00BA3B01">
      <w:pPr>
        <w:spacing w:before="160" w:line="276" w:lineRule="auto"/>
        <w:ind w:left="284" w:hanging="284"/>
        <w:sectPr w:rsidR="00791026" w:rsidSect="00150EC1">
          <w:pgSz w:w="11906" w:h="16838"/>
          <w:pgMar w:top="1440" w:right="1440" w:bottom="1440" w:left="1440" w:header="708" w:footer="708" w:gutter="0"/>
          <w:cols w:space="708"/>
          <w:docGrid w:linePitch="360"/>
        </w:sectPr>
      </w:pPr>
      <w:r>
        <w:t xml:space="preserve">Montes F, Meinen R, Dell C, Rotz A, Hristov AN, Oh J, Waghorn G, Gerber PJ, Henderson B, Makkar HPS, Dijkstra J (2013) SPECIAL TOPICS </w:t>
      </w:r>
      <w:r w:rsidRPr="00D01E7A">
        <w:t>–</w:t>
      </w:r>
      <w:r>
        <w:t xml:space="preserve"> Mitigation of methane and nitrous oxide emissions from animal operations: II. A review of manure management mitigation options. </w:t>
      </w:r>
      <w:r>
        <w:rPr>
          <w:i/>
          <w:iCs/>
        </w:rPr>
        <w:t xml:space="preserve">Journal of Animal Science </w:t>
      </w:r>
      <w:r>
        <w:rPr>
          <w:b/>
          <w:bCs/>
        </w:rPr>
        <w:t>91</w:t>
      </w:r>
      <w:r>
        <w:t>, 5070-5094.</w:t>
      </w:r>
      <w:r w:rsidR="00160463">
        <w:t xml:space="preserve"> </w:t>
      </w:r>
      <w:hyperlink r:id="rId39" w:history="1">
        <w:r w:rsidR="00160463" w:rsidRPr="00AD4335">
          <w:rPr>
            <w:rStyle w:val="Hyperlink"/>
          </w:rPr>
          <w:t>https://academic.oup.com/jas/article/91/11/5070/4731316</w:t>
        </w:r>
      </w:hyperlink>
      <w:r w:rsidR="00160463">
        <w:t xml:space="preserve"> </w:t>
      </w:r>
    </w:p>
    <w:p w14:paraId="09D79301" w14:textId="55E36FCB" w:rsidR="00F250FC" w:rsidRDefault="00263EE1" w:rsidP="00BA3B01">
      <w:pPr>
        <w:pStyle w:val="Heading1"/>
        <w:numPr>
          <w:ilvl w:val="0"/>
          <w:numId w:val="35"/>
        </w:numPr>
        <w:spacing w:before="160" w:after="160" w:line="276" w:lineRule="auto"/>
        <w:ind w:left="567" w:hanging="567"/>
        <w:rPr>
          <w:rStyle w:val="Hyperlink"/>
          <w:u w:val="none"/>
        </w:rPr>
      </w:pPr>
      <w:bookmarkStart w:id="5" w:name="_Toc116988449"/>
      <w:r w:rsidRPr="00263EE1">
        <w:rPr>
          <w:rStyle w:val="Hyperlink"/>
          <w:u w:val="none"/>
        </w:rPr>
        <w:lastRenderedPageBreak/>
        <w:t>Appendi</w:t>
      </w:r>
      <w:r w:rsidR="00F97284">
        <w:rPr>
          <w:rStyle w:val="Hyperlink"/>
          <w:u w:val="none"/>
        </w:rPr>
        <w:t>ces</w:t>
      </w:r>
      <w:bookmarkEnd w:id="5"/>
    </w:p>
    <w:p w14:paraId="1386F4C8" w14:textId="0B578C68" w:rsidR="00F97284" w:rsidRDefault="00F97284" w:rsidP="00B62361">
      <w:pPr>
        <w:rPr>
          <w:b/>
          <w:bCs/>
          <w:i/>
          <w:iCs/>
          <w:sz w:val="24"/>
          <w:szCs w:val="24"/>
        </w:rPr>
      </w:pPr>
      <w:r>
        <w:rPr>
          <w:b/>
          <w:bCs/>
          <w:i/>
          <w:iCs/>
          <w:sz w:val="24"/>
          <w:szCs w:val="24"/>
        </w:rPr>
        <w:t>Appendix 2</w:t>
      </w:r>
    </w:p>
    <w:p w14:paraId="38B22376" w14:textId="679D3F5A" w:rsidR="00F97284" w:rsidRDefault="00F97284" w:rsidP="00B62361">
      <w:pPr>
        <w:rPr>
          <w:sz w:val="24"/>
          <w:szCs w:val="24"/>
        </w:rPr>
      </w:pPr>
      <w:r>
        <w:rPr>
          <w:sz w:val="24"/>
          <w:szCs w:val="24"/>
        </w:rPr>
        <w:t xml:space="preserve">Typical </w:t>
      </w:r>
      <w:r w:rsidR="00460B7F">
        <w:rPr>
          <w:sz w:val="24"/>
          <w:szCs w:val="24"/>
        </w:rPr>
        <w:t>regional, state, country-wide</w:t>
      </w:r>
      <w:r w:rsidR="00731F36">
        <w:rPr>
          <w:sz w:val="24"/>
          <w:szCs w:val="24"/>
        </w:rPr>
        <w:t>,</w:t>
      </w:r>
      <w:r w:rsidR="00460B7F">
        <w:rPr>
          <w:sz w:val="24"/>
          <w:szCs w:val="24"/>
        </w:rPr>
        <w:t xml:space="preserve"> and level of grain feeding</w:t>
      </w:r>
      <w:r w:rsidR="000003EB">
        <w:rPr>
          <w:sz w:val="24"/>
          <w:szCs w:val="24"/>
        </w:rPr>
        <w:t xml:space="preserve"> percentage of GHG </w:t>
      </w:r>
      <w:r w:rsidR="000C1095">
        <w:rPr>
          <w:sz w:val="24"/>
          <w:szCs w:val="24"/>
        </w:rPr>
        <w:t>emissions, based</w:t>
      </w:r>
      <w:r w:rsidR="000003EB">
        <w:rPr>
          <w:sz w:val="24"/>
          <w:szCs w:val="24"/>
        </w:rPr>
        <w:t xml:space="preserve"> on several years of DairyBase </w:t>
      </w:r>
      <w:r w:rsidR="009B57F9">
        <w:rPr>
          <w:sz w:val="24"/>
          <w:szCs w:val="24"/>
        </w:rPr>
        <w:t>data</w:t>
      </w:r>
      <w:r w:rsidR="000C1095">
        <w:rPr>
          <w:sz w:val="24"/>
          <w:szCs w:val="24"/>
        </w:rPr>
        <w:t xml:space="preserve"> (Dairy Farm Monitor Project and Queensland Dairy Accounting Scheme from 2015-16 to 2021-22)</w:t>
      </w:r>
      <w:r w:rsidR="009B57F9">
        <w:rPr>
          <w:sz w:val="24"/>
          <w:szCs w:val="24"/>
        </w:rPr>
        <w:t>.</w:t>
      </w:r>
      <w:r w:rsidR="000320C5">
        <w:rPr>
          <w:sz w:val="24"/>
          <w:szCs w:val="24"/>
        </w:rPr>
        <w:t xml:space="preserve"> </w:t>
      </w:r>
      <w:r w:rsidR="00BB2930">
        <w:rPr>
          <w:sz w:val="24"/>
          <w:szCs w:val="24"/>
        </w:rPr>
        <w:t xml:space="preserve">Note that with the upgrade of ADCC/DairyBase with respect to tree carbon sequestration, we were unable to generate a </w:t>
      </w:r>
      <w:r w:rsidR="001E02E8">
        <w:rPr>
          <w:sz w:val="24"/>
          <w:szCs w:val="24"/>
        </w:rPr>
        <w:t>percentage of net emissions</w:t>
      </w:r>
      <w:r w:rsidR="00DA3042">
        <w:rPr>
          <w:sz w:val="24"/>
          <w:szCs w:val="24"/>
        </w:rPr>
        <w:t xml:space="preserve"> attributed to carbon sequestered in trees. </w:t>
      </w:r>
    </w:p>
    <w:tbl>
      <w:tblPr>
        <w:tblStyle w:val="TableGrid"/>
        <w:tblW w:w="1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94"/>
        <w:gridCol w:w="1395"/>
        <w:gridCol w:w="1395"/>
        <w:gridCol w:w="1395"/>
        <w:gridCol w:w="1395"/>
        <w:gridCol w:w="1395"/>
        <w:gridCol w:w="1395"/>
        <w:gridCol w:w="1395"/>
      </w:tblGrid>
      <w:tr w:rsidR="001A6B46" w14:paraId="4CE57199" w14:textId="77777777" w:rsidTr="001E02E8">
        <w:tc>
          <w:tcPr>
            <w:tcW w:w="3119" w:type="dxa"/>
            <w:tcBorders>
              <w:top w:val="single" w:sz="4" w:space="0" w:color="auto"/>
              <w:bottom w:val="single" w:sz="4" w:space="0" w:color="auto"/>
            </w:tcBorders>
            <w:shd w:val="clear" w:color="auto" w:fill="D0CECE" w:themeFill="background2" w:themeFillShade="E6"/>
            <w:vAlign w:val="center"/>
          </w:tcPr>
          <w:p w14:paraId="67AD2C8C" w14:textId="00BDE792" w:rsidR="001A6B46" w:rsidRPr="001E02E8" w:rsidRDefault="001E02E8" w:rsidP="004C683A">
            <w:pPr>
              <w:rPr>
                <w:b/>
                <w:bCs/>
                <w:sz w:val="24"/>
                <w:szCs w:val="24"/>
              </w:rPr>
            </w:pPr>
            <w:r w:rsidRPr="001E02E8">
              <w:rPr>
                <w:b/>
                <w:bCs/>
                <w:sz w:val="24"/>
                <w:szCs w:val="24"/>
              </w:rPr>
              <w:t>Source/sink GHG emissions</w:t>
            </w:r>
          </w:p>
        </w:tc>
        <w:tc>
          <w:tcPr>
            <w:tcW w:w="1394" w:type="dxa"/>
            <w:tcBorders>
              <w:top w:val="single" w:sz="4" w:space="0" w:color="auto"/>
              <w:bottom w:val="single" w:sz="4" w:space="0" w:color="auto"/>
            </w:tcBorders>
            <w:shd w:val="clear" w:color="auto" w:fill="D0CECE" w:themeFill="background2" w:themeFillShade="E6"/>
            <w:vAlign w:val="center"/>
          </w:tcPr>
          <w:p w14:paraId="7992DDE2" w14:textId="272216AE" w:rsidR="001A6B46" w:rsidRPr="001E02E8" w:rsidRDefault="001A6B46" w:rsidP="001A6B46">
            <w:pPr>
              <w:jc w:val="center"/>
              <w:rPr>
                <w:b/>
                <w:bCs/>
                <w:sz w:val="24"/>
                <w:szCs w:val="24"/>
              </w:rPr>
            </w:pPr>
            <w:r w:rsidRPr="001E02E8">
              <w:rPr>
                <w:rFonts w:ascii="Calibri" w:hAnsi="Calibri" w:cs="Calibri"/>
                <w:b/>
                <w:bCs/>
                <w:color w:val="000000"/>
              </w:rPr>
              <w:t>Australia-wide</w:t>
            </w:r>
          </w:p>
        </w:tc>
        <w:tc>
          <w:tcPr>
            <w:tcW w:w="1395" w:type="dxa"/>
            <w:tcBorders>
              <w:top w:val="single" w:sz="4" w:space="0" w:color="auto"/>
              <w:bottom w:val="single" w:sz="4" w:space="0" w:color="auto"/>
            </w:tcBorders>
            <w:shd w:val="clear" w:color="auto" w:fill="D0CECE" w:themeFill="background2" w:themeFillShade="E6"/>
            <w:vAlign w:val="center"/>
          </w:tcPr>
          <w:p w14:paraId="12571DF1" w14:textId="61CCE115" w:rsidR="001A6B46" w:rsidRPr="00D04BCE" w:rsidRDefault="001A6B46" w:rsidP="001A6B46">
            <w:pPr>
              <w:jc w:val="center"/>
              <w:rPr>
                <w:b/>
                <w:bCs/>
                <w:sz w:val="24"/>
                <w:szCs w:val="24"/>
              </w:rPr>
            </w:pPr>
            <w:r w:rsidRPr="00D04BCE">
              <w:rPr>
                <w:rFonts w:ascii="Calibri" w:hAnsi="Calibri" w:cs="Calibri"/>
                <w:b/>
                <w:bCs/>
                <w:color w:val="000000"/>
              </w:rPr>
              <w:t>Victoria</w:t>
            </w:r>
          </w:p>
        </w:tc>
        <w:tc>
          <w:tcPr>
            <w:tcW w:w="1395" w:type="dxa"/>
            <w:tcBorders>
              <w:top w:val="single" w:sz="4" w:space="0" w:color="auto"/>
              <w:bottom w:val="single" w:sz="4" w:space="0" w:color="auto"/>
            </w:tcBorders>
            <w:shd w:val="clear" w:color="auto" w:fill="D0CECE" w:themeFill="background2" w:themeFillShade="E6"/>
            <w:vAlign w:val="center"/>
          </w:tcPr>
          <w:p w14:paraId="33245D53" w14:textId="24A829F3" w:rsidR="001A6B46" w:rsidRPr="00D04BCE" w:rsidRDefault="00A27DAB" w:rsidP="001A6B46">
            <w:pPr>
              <w:jc w:val="center"/>
              <w:rPr>
                <w:b/>
                <w:bCs/>
                <w:sz w:val="24"/>
                <w:szCs w:val="24"/>
              </w:rPr>
            </w:pPr>
            <w:r>
              <w:rPr>
                <w:rFonts w:ascii="Calibri" w:hAnsi="Calibri" w:cs="Calibri"/>
                <w:b/>
                <w:bCs/>
                <w:color w:val="000000"/>
              </w:rPr>
              <w:t>VIC</w:t>
            </w:r>
            <w:r w:rsidR="001A6B46" w:rsidRPr="00D04BCE">
              <w:rPr>
                <w:rFonts w:ascii="Calibri" w:hAnsi="Calibri" w:cs="Calibri"/>
                <w:b/>
                <w:bCs/>
                <w:color w:val="000000"/>
              </w:rPr>
              <w:t>- Gippsland</w:t>
            </w:r>
          </w:p>
        </w:tc>
        <w:tc>
          <w:tcPr>
            <w:tcW w:w="1395" w:type="dxa"/>
            <w:tcBorders>
              <w:top w:val="single" w:sz="4" w:space="0" w:color="auto"/>
              <w:bottom w:val="single" w:sz="4" w:space="0" w:color="auto"/>
            </w:tcBorders>
            <w:shd w:val="clear" w:color="auto" w:fill="D0CECE" w:themeFill="background2" w:themeFillShade="E6"/>
            <w:vAlign w:val="center"/>
          </w:tcPr>
          <w:p w14:paraId="151D0A87" w14:textId="7F8E6F73" w:rsidR="001A6B46" w:rsidRPr="00D04BCE" w:rsidRDefault="00A27DAB" w:rsidP="001A6B46">
            <w:pPr>
              <w:jc w:val="center"/>
              <w:rPr>
                <w:b/>
                <w:bCs/>
                <w:sz w:val="24"/>
                <w:szCs w:val="24"/>
              </w:rPr>
            </w:pPr>
            <w:r>
              <w:rPr>
                <w:rFonts w:ascii="Calibri" w:hAnsi="Calibri" w:cs="Calibri"/>
                <w:b/>
                <w:bCs/>
                <w:color w:val="000000"/>
              </w:rPr>
              <w:t>VIC</w:t>
            </w:r>
            <w:r w:rsidR="001A6B46" w:rsidRPr="00D04BCE">
              <w:rPr>
                <w:rFonts w:ascii="Calibri" w:hAnsi="Calibri" w:cs="Calibri"/>
                <w:b/>
                <w:bCs/>
                <w:color w:val="000000"/>
              </w:rPr>
              <w:t>- Northern</w:t>
            </w:r>
          </w:p>
        </w:tc>
        <w:tc>
          <w:tcPr>
            <w:tcW w:w="1395" w:type="dxa"/>
            <w:tcBorders>
              <w:top w:val="single" w:sz="4" w:space="0" w:color="auto"/>
              <w:bottom w:val="single" w:sz="4" w:space="0" w:color="auto"/>
            </w:tcBorders>
            <w:shd w:val="clear" w:color="auto" w:fill="D0CECE" w:themeFill="background2" w:themeFillShade="E6"/>
            <w:vAlign w:val="center"/>
          </w:tcPr>
          <w:p w14:paraId="7990E734" w14:textId="77777777" w:rsidR="00BE520B" w:rsidRDefault="00A27DAB" w:rsidP="001A6B46">
            <w:pPr>
              <w:jc w:val="center"/>
              <w:rPr>
                <w:rFonts w:ascii="Calibri" w:hAnsi="Calibri" w:cs="Calibri"/>
                <w:b/>
                <w:bCs/>
                <w:color w:val="000000"/>
              </w:rPr>
            </w:pPr>
            <w:r>
              <w:rPr>
                <w:rFonts w:ascii="Calibri" w:hAnsi="Calibri" w:cs="Calibri"/>
                <w:b/>
                <w:bCs/>
                <w:color w:val="000000"/>
              </w:rPr>
              <w:t>VIC</w:t>
            </w:r>
            <w:r w:rsidR="001A6B46" w:rsidRPr="00D04BCE">
              <w:rPr>
                <w:rFonts w:ascii="Calibri" w:hAnsi="Calibri" w:cs="Calibri"/>
                <w:b/>
                <w:bCs/>
                <w:color w:val="000000"/>
              </w:rPr>
              <w:t xml:space="preserve">- </w:t>
            </w:r>
          </w:p>
          <w:p w14:paraId="16299A90" w14:textId="2DB7A710" w:rsidR="001A6B46" w:rsidRPr="00D04BCE" w:rsidRDefault="001A6B46" w:rsidP="001A6B46">
            <w:pPr>
              <w:jc w:val="center"/>
              <w:rPr>
                <w:b/>
                <w:bCs/>
                <w:sz w:val="24"/>
                <w:szCs w:val="24"/>
              </w:rPr>
            </w:pPr>
            <w:proofErr w:type="gramStart"/>
            <w:r w:rsidRPr="00D04BCE">
              <w:rPr>
                <w:rFonts w:ascii="Calibri" w:hAnsi="Calibri" w:cs="Calibri"/>
                <w:b/>
                <w:bCs/>
                <w:color w:val="000000"/>
              </w:rPr>
              <w:t>South West</w:t>
            </w:r>
            <w:proofErr w:type="gramEnd"/>
          </w:p>
        </w:tc>
        <w:tc>
          <w:tcPr>
            <w:tcW w:w="1395" w:type="dxa"/>
            <w:tcBorders>
              <w:top w:val="single" w:sz="4" w:space="0" w:color="auto"/>
              <w:bottom w:val="single" w:sz="4" w:space="0" w:color="auto"/>
            </w:tcBorders>
            <w:shd w:val="clear" w:color="auto" w:fill="D0CECE" w:themeFill="background2" w:themeFillShade="E6"/>
            <w:vAlign w:val="center"/>
          </w:tcPr>
          <w:p w14:paraId="551B3EA8" w14:textId="19C28B3D" w:rsidR="001A6B46" w:rsidRPr="00D04BCE" w:rsidRDefault="001A6B46" w:rsidP="001A6B46">
            <w:pPr>
              <w:jc w:val="center"/>
              <w:rPr>
                <w:b/>
                <w:bCs/>
                <w:sz w:val="24"/>
                <w:szCs w:val="24"/>
              </w:rPr>
            </w:pPr>
            <w:r w:rsidRPr="00D04BCE">
              <w:rPr>
                <w:rFonts w:ascii="Calibri" w:hAnsi="Calibri" w:cs="Calibri"/>
                <w:b/>
                <w:bCs/>
                <w:color w:val="000000"/>
              </w:rPr>
              <w:t>New South Wales</w:t>
            </w:r>
          </w:p>
        </w:tc>
        <w:tc>
          <w:tcPr>
            <w:tcW w:w="1395" w:type="dxa"/>
            <w:tcBorders>
              <w:top w:val="single" w:sz="4" w:space="0" w:color="auto"/>
              <w:bottom w:val="single" w:sz="4" w:space="0" w:color="auto"/>
            </w:tcBorders>
            <w:shd w:val="clear" w:color="auto" w:fill="D0CECE" w:themeFill="background2" w:themeFillShade="E6"/>
            <w:vAlign w:val="center"/>
          </w:tcPr>
          <w:p w14:paraId="7059254F" w14:textId="77777777" w:rsidR="00554FBD" w:rsidRDefault="001A6B46" w:rsidP="001A6B46">
            <w:pPr>
              <w:jc w:val="center"/>
              <w:rPr>
                <w:rFonts w:ascii="Calibri" w:hAnsi="Calibri" w:cs="Calibri"/>
                <w:b/>
                <w:bCs/>
                <w:color w:val="000000"/>
              </w:rPr>
            </w:pPr>
            <w:r w:rsidRPr="00D04BCE">
              <w:rPr>
                <w:rFonts w:ascii="Calibri" w:hAnsi="Calibri" w:cs="Calibri"/>
                <w:b/>
                <w:bCs/>
                <w:color w:val="000000"/>
              </w:rPr>
              <w:t xml:space="preserve">NSW- </w:t>
            </w:r>
          </w:p>
          <w:p w14:paraId="113FA3A7" w14:textId="51C792D7" w:rsidR="001A6B46" w:rsidRPr="00D04BCE" w:rsidRDefault="001A6B46" w:rsidP="001A6B46">
            <w:pPr>
              <w:jc w:val="center"/>
              <w:rPr>
                <w:b/>
                <w:bCs/>
                <w:sz w:val="24"/>
                <w:szCs w:val="24"/>
              </w:rPr>
            </w:pPr>
            <w:r w:rsidRPr="00D04BCE">
              <w:rPr>
                <w:rFonts w:ascii="Calibri" w:hAnsi="Calibri" w:cs="Calibri"/>
                <w:b/>
                <w:bCs/>
                <w:color w:val="000000"/>
              </w:rPr>
              <w:t>North</w:t>
            </w:r>
          </w:p>
        </w:tc>
        <w:tc>
          <w:tcPr>
            <w:tcW w:w="1395" w:type="dxa"/>
            <w:tcBorders>
              <w:top w:val="single" w:sz="4" w:space="0" w:color="auto"/>
              <w:bottom w:val="single" w:sz="4" w:space="0" w:color="auto"/>
            </w:tcBorders>
            <w:shd w:val="clear" w:color="auto" w:fill="D0CECE" w:themeFill="background2" w:themeFillShade="E6"/>
            <w:vAlign w:val="center"/>
          </w:tcPr>
          <w:p w14:paraId="415CDC4A" w14:textId="77777777" w:rsidR="00554FBD" w:rsidRDefault="001A6B46" w:rsidP="001A6B46">
            <w:pPr>
              <w:jc w:val="center"/>
              <w:rPr>
                <w:rFonts w:ascii="Calibri" w:hAnsi="Calibri" w:cs="Calibri"/>
                <w:b/>
                <w:bCs/>
                <w:color w:val="000000"/>
              </w:rPr>
            </w:pPr>
            <w:r w:rsidRPr="00D04BCE">
              <w:rPr>
                <w:rFonts w:ascii="Calibri" w:hAnsi="Calibri" w:cs="Calibri"/>
                <w:b/>
                <w:bCs/>
                <w:color w:val="000000"/>
              </w:rPr>
              <w:t xml:space="preserve">NSW- </w:t>
            </w:r>
          </w:p>
          <w:p w14:paraId="5175F15E" w14:textId="26F9346C" w:rsidR="001A6B46" w:rsidRPr="00D04BCE" w:rsidRDefault="001A6B46" w:rsidP="001A6B46">
            <w:pPr>
              <w:jc w:val="center"/>
              <w:rPr>
                <w:b/>
                <w:bCs/>
                <w:sz w:val="24"/>
                <w:szCs w:val="24"/>
              </w:rPr>
            </w:pPr>
            <w:r w:rsidRPr="00D04BCE">
              <w:rPr>
                <w:rFonts w:ascii="Calibri" w:hAnsi="Calibri" w:cs="Calibri"/>
                <w:b/>
                <w:bCs/>
                <w:color w:val="000000"/>
              </w:rPr>
              <w:t>South</w:t>
            </w:r>
          </w:p>
        </w:tc>
      </w:tr>
      <w:tr w:rsidR="001A6B46" w14:paraId="00234247" w14:textId="77777777" w:rsidTr="00B45BB4">
        <w:tc>
          <w:tcPr>
            <w:tcW w:w="3119" w:type="dxa"/>
            <w:tcBorders>
              <w:top w:val="single" w:sz="4" w:space="0" w:color="auto"/>
            </w:tcBorders>
            <w:vAlign w:val="bottom"/>
          </w:tcPr>
          <w:p w14:paraId="1943C9EF" w14:textId="33732DE0" w:rsidR="001A6B46" w:rsidRDefault="001A6B46" w:rsidP="004C683A">
            <w:pPr>
              <w:rPr>
                <w:sz w:val="24"/>
                <w:szCs w:val="24"/>
              </w:rPr>
            </w:pPr>
            <w:r>
              <w:rPr>
                <w:rFonts w:ascii="Calibri" w:hAnsi="Calibri" w:cs="Calibri"/>
                <w:color w:val="000000"/>
              </w:rPr>
              <w:t xml:space="preserve">Enteric </w:t>
            </w:r>
            <w:r w:rsidR="002F3A2D">
              <w:rPr>
                <w:rFonts w:ascii="Calibri" w:hAnsi="Calibri" w:cs="Calibri"/>
                <w:color w:val="000000"/>
              </w:rPr>
              <w:t>CH</w:t>
            </w:r>
            <w:r w:rsidR="002F3A2D" w:rsidRPr="002F3A2D">
              <w:rPr>
                <w:rFonts w:ascii="Calibri" w:hAnsi="Calibri" w:cs="Calibri"/>
                <w:color w:val="000000"/>
                <w:vertAlign w:val="subscript"/>
              </w:rPr>
              <w:t>4</w:t>
            </w:r>
          </w:p>
        </w:tc>
        <w:tc>
          <w:tcPr>
            <w:tcW w:w="1394" w:type="dxa"/>
            <w:tcBorders>
              <w:top w:val="single" w:sz="4" w:space="0" w:color="auto"/>
            </w:tcBorders>
            <w:vAlign w:val="bottom"/>
          </w:tcPr>
          <w:p w14:paraId="58A69703" w14:textId="1530757C" w:rsidR="001A6B46" w:rsidRDefault="001A6B46" w:rsidP="001A6B46">
            <w:pPr>
              <w:jc w:val="center"/>
              <w:rPr>
                <w:sz w:val="24"/>
                <w:szCs w:val="24"/>
              </w:rPr>
            </w:pPr>
            <w:r>
              <w:rPr>
                <w:rFonts w:ascii="Calibri" w:hAnsi="Calibri" w:cs="Calibri"/>
                <w:color w:val="000000"/>
              </w:rPr>
              <w:t>60%</w:t>
            </w:r>
          </w:p>
        </w:tc>
        <w:tc>
          <w:tcPr>
            <w:tcW w:w="1395" w:type="dxa"/>
            <w:tcBorders>
              <w:top w:val="single" w:sz="4" w:space="0" w:color="auto"/>
            </w:tcBorders>
            <w:vAlign w:val="bottom"/>
          </w:tcPr>
          <w:p w14:paraId="09FC28FB" w14:textId="7F17CCE4" w:rsidR="001A6B46" w:rsidRDefault="001A6B46" w:rsidP="001A6B46">
            <w:pPr>
              <w:jc w:val="center"/>
              <w:rPr>
                <w:sz w:val="24"/>
                <w:szCs w:val="24"/>
              </w:rPr>
            </w:pPr>
            <w:r>
              <w:rPr>
                <w:rFonts w:ascii="Calibri" w:hAnsi="Calibri" w:cs="Calibri"/>
                <w:color w:val="000000"/>
              </w:rPr>
              <w:t>60%</w:t>
            </w:r>
          </w:p>
        </w:tc>
        <w:tc>
          <w:tcPr>
            <w:tcW w:w="1395" w:type="dxa"/>
            <w:tcBorders>
              <w:top w:val="single" w:sz="4" w:space="0" w:color="auto"/>
            </w:tcBorders>
            <w:vAlign w:val="bottom"/>
          </w:tcPr>
          <w:p w14:paraId="29BCE553" w14:textId="4F1C4588" w:rsidR="001A6B46" w:rsidRDefault="001A6B46" w:rsidP="001A6B46">
            <w:pPr>
              <w:jc w:val="center"/>
              <w:rPr>
                <w:sz w:val="24"/>
                <w:szCs w:val="24"/>
              </w:rPr>
            </w:pPr>
            <w:r>
              <w:rPr>
                <w:rFonts w:ascii="Calibri" w:hAnsi="Calibri" w:cs="Calibri"/>
                <w:color w:val="000000"/>
              </w:rPr>
              <w:t>60%</w:t>
            </w:r>
          </w:p>
        </w:tc>
        <w:tc>
          <w:tcPr>
            <w:tcW w:w="1395" w:type="dxa"/>
            <w:tcBorders>
              <w:top w:val="single" w:sz="4" w:space="0" w:color="auto"/>
            </w:tcBorders>
            <w:vAlign w:val="bottom"/>
          </w:tcPr>
          <w:p w14:paraId="4EB66736" w14:textId="0AA4523E" w:rsidR="001A6B46" w:rsidRDefault="001A6B46" w:rsidP="001A6B46">
            <w:pPr>
              <w:jc w:val="center"/>
              <w:rPr>
                <w:sz w:val="24"/>
                <w:szCs w:val="24"/>
              </w:rPr>
            </w:pPr>
            <w:r>
              <w:rPr>
                <w:rFonts w:ascii="Calibri" w:hAnsi="Calibri" w:cs="Calibri"/>
                <w:color w:val="000000"/>
              </w:rPr>
              <w:t>61%</w:t>
            </w:r>
          </w:p>
        </w:tc>
        <w:tc>
          <w:tcPr>
            <w:tcW w:w="1395" w:type="dxa"/>
            <w:tcBorders>
              <w:top w:val="single" w:sz="4" w:space="0" w:color="auto"/>
            </w:tcBorders>
            <w:vAlign w:val="bottom"/>
          </w:tcPr>
          <w:p w14:paraId="46A25616" w14:textId="5CF3D436" w:rsidR="001A6B46" w:rsidRDefault="001A6B46" w:rsidP="001A6B46">
            <w:pPr>
              <w:jc w:val="center"/>
              <w:rPr>
                <w:sz w:val="24"/>
                <w:szCs w:val="24"/>
              </w:rPr>
            </w:pPr>
            <w:r>
              <w:rPr>
                <w:rFonts w:ascii="Calibri" w:hAnsi="Calibri" w:cs="Calibri"/>
                <w:color w:val="000000"/>
              </w:rPr>
              <w:t>58%</w:t>
            </w:r>
          </w:p>
        </w:tc>
        <w:tc>
          <w:tcPr>
            <w:tcW w:w="1395" w:type="dxa"/>
            <w:tcBorders>
              <w:top w:val="single" w:sz="4" w:space="0" w:color="auto"/>
            </w:tcBorders>
            <w:vAlign w:val="bottom"/>
          </w:tcPr>
          <w:p w14:paraId="5CCD712B" w14:textId="11210498" w:rsidR="001A6B46" w:rsidRDefault="001A6B46" w:rsidP="001A6B46">
            <w:pPr>
              <w:jc w:val="center"/>
              <w:rPr>
                <w:sz w:val="24"/>
                <w:szCs w:val="24"/>
              </w:rPr>
            </w:pPr>
            <w:r>
              <w:rPr>
                <w:rFonts w:ascii="Calibri" w:hAnsi="Calibri" w:cs="Calibri"/>
                <w:color w:val="000000"/>
              </w:rPr>
              <w:t>58%</w:t>
            </w:r>
          </w:p>
        </w:tc>
        <w:tc>
          <w:tcPr>
            <w:tcW w:w="1395" w:type="dxa"/>
            <w:tcBorders>
              <w:top w:val="single" w:sz="4" w:space="0" w:color="auto"/>
            </w:tcBorders>
            <w:vAlign w:val="bottom"/>
          </w:tcPr>
          <w:p w14:paraId="507B5D08" w14:textId="3ABA010D" w:rsidR="001A6B46" w:rsidRDefault="001A6B46" w:rsidP="001A6B46">
            <w:pPr>
              <w:jc w:val="center"/>
              <w:rPr>
                <w:sz w:val="24"/>
                <w:szCs w:val="24"/>
              </w:rPr>
            </w:pPr>
            <w:r>
              <w:rPr>
                <w:rFonts w:ascii="Calibri" w:hAnsi="Calibri" w:cs="Calibri"/>
                <w:color w:val="000000"/>
              </w:rPr>
              <w:t>56%</w:t>
            </w:r>
          </w:p>
        </w:tc>
        <w:tc>
          <w:tcPr>
            <w:tcW w:w="1395" w:type="dxa"/>
            <w:tcBorders>
              <w:top w:val="single" w:sz="4" w:space="0" w:color="auto"/>
            </w:tcBorders>
            <w:vAlign w:val="bottom"/>
          </w:tcPr>
          <w:p w14:paraId="27ACD0A7" w14:textId="0CC734A8" w:rsidR="001A6B46" w:rsidRDefault="001A6B46" w:rsidP="001A6B46">
            <w:pPr>
              <w:jc w:val="center"/>
              <w:rPr>
                <w:sz w:val="24"/>
                <w:szCs w:val="24"/>
              </w:rPr>
            </w:pPr>
            <w:r>
              <w:rPr>
                <w:rFonts w:ascii="Calibri" w:hAnsi="Calibri" w:cs="Calibri"/>
                <w:color w:val="000000"/>
              </w:rPr>
              <w:t>59%</w:t>
            </w:r>
          </w:p>
        </w:tc>
      </w:tr>
      <w:tr w:rsidR="001A6B46" w14:paraId="77F8616C" w14:textId="77777777" w:rsidTr="00B45BB4">
        <w:tc>
          <w:tcPr>
            <w:tcW w:w="3119" w:type="dxa"/>
            <w:vAlign w:val="bottom"/>
          </w:tcPr>
          <w:p w14:paraId="63B2528A" w14:textId="767A4711" w:rsidR="001A6B46" w:rsidRDefault="001A6B46" w:rsidP="004C683A">
            <w:pPr>
              <w:rPr>
                <w:sz w:val="24"/>
                <w:szCs w:val="24"/>
              </w:rPr>
            </w:pPr>
            <w:r>
              <w:rPr>
                <w:rFonts w:ascii="Calibri" w:hAnsi="Calibri" w:cs="Calibri"/>
                <w:color w:val="000000"/>
              </w:rPr>
              <w:t xml:space="preserve">Waste </w:t>
            </w:r>
            <w:r w:rsidR="002F3A2D">
              <w:rPr>
                <w:rFonts w:ascii="Calibri" w:hAnsi="Calibri" w:cs="Calibri"/>
                <w:color w:val="000000"/>
              </w:rPr>
              <w:t>CH</w:t>
            </w:r>
            <w:r w:rsidR="002F3A2D" w:rsidRPr="002F3A2D">
              <w:rPr>
                <w:rFonts w:ascii="Calibri" w:hAnsi="Calibri" w:cs="Calibri"/>
                <w:color w:val="000000"/>
                <w:vertAlign w:val="subscript"/>
              </w:rPr>
              <w:t>4</w:t>
            </w:r>
          </w:p>
        </w:tc>
        <w:tc>
          <w:tcPr>
            <w:tcW w:w="1394" w:type="dxa"/>
            <w:vAlign w:val="bottom"/>
          </w:tcPr>
          <w:p w14:paraId="4B15738A" w14:textId="513BB7D8" w:rsidR="001A6B46" w:rsidRDefault="001A6B46" w:rsidP="001A6B46">
            <w:pPr>
              <w:jc w:val="center"/>
              <w:rPr>
                <w:sz w:val="24"/>
                <w:szCs w:val="24"/>
              </w:rPr>
            </w:pPr>
            <w:r>
              <w:rPr>
                <w:rFonts w:ascii="Calibri" w:hAnsi="Calibri" w:cs="Calibri"/>
                <w:color w:val="000000"/>
              </w:rPr>
              <w:t>9%</w:t>
            </w:r>
          </w:p>
        </w:tc>
        <w:tc>
          <w:tcPr>
            <w:tcW w:w="1395" w:type="dxa"/>
            <w:vAlign w:val="bottom"/>
          </w:tcPr>
          <w:p w14:paraId="10FE6395" w14:textId="7B08B6C0" w:rsidR="001A6B46" w:rsidRDefault="001A6B46" w:rsidP="001A6B46">
            <w:pPr>
              <w:jc w:val="center"/>
              <w:rPr>
                <w:sz w:val="24"/>
                <w:szCs w:val="24"/>
              </w:rPr>
            </w:pPr>
            <w:r>
              <w:rPr>
                <w:rFonts w:ascii="Calibri" w:hAnsi="Calibri" w:cs="Calibri"/>
                <w:color w:val="000000"/>
              </w:rPr>
              <w:t>10%</w:t>
            </w:r>
          </w:p>
        </w:tc>
        <w:tc>
          <w:tcPr>
            <w:tcW w:w="1395" w:type="dxa"/>
            <w:vAlign w:val="bottom"/>
          </w:tcPr>
          <w:p w14:paraId="0A3EF491" w14:textId="1857E96D" w:rsidR="001A6B46" w:rsidRDefault="001A6B46" w:rsidP="001A6B46">
            <w:pPr>
              <w:jc w:val="center"/>
              <w:rPr>
                <w:sz w:val="24"/>
                <w:szCs w:val="24"/>
              </w:rPr>
            </w:pPr>
            <w:r>
              <w:rPr>
                <w:rFonts w:ascii="Calibri" w:hAnsi="Calibri" w:cs="Calibri"/>
                <w:color w:val="000000"/>
              </w:rPr>
              <w:t>10%</w:t>
            </w:r>
          </w:p>
        </w:tc>
        <w:tc>
          <w:tcPr>
            <w:tcW w:w="1395" w:type="dxa"/>
            <w:vAlign w:val="bottom"/>
          </w:tcPr>
          <w:p w14:paraId="2C392350" w14:textId="7FA2AFDE" w:rsidR="001A6B46" w:rsidRDefault="001A6B46" w:rsidP="001A6B46">
            <w:pPr>
              <w:jc w:val="center"/>
              <w:rPr>
                <w:sz w:val="24"/>
                <w:szCs w:val="24"/>
              </w:rPr>
            </w:pPr>
            <w:r>
              <w:rPr>
                <w:rFonts w:ascii="Calibri" w:hAnsi="Calibri" w:cs="Calibri"/>
                <w:color w:val="000000"/>
              </w:rPr>
              <w:t>10%</w:t>
            </w:r>
          </w:p>
        </w:tc>
        <w:tc>
          <w:tcPr>
            <w:tcW w:w="1395" w:type="dxa"/>
            <w:vAlign w:val="bottom"/>
          </w:tcPr>
          <w:p w14:paraId="270C763A" w14:textId="1F41DD79" w:rsidR="001A6B46" w:rsidRDefault="001A6B46" w:rsidP="001A6B46">
            <w:pPr>
              <w:jc w:val="center"/>
              <w:rPr>
                <w:sz w:val="24"/>
                <w:szCs w:val="24"/>
              </w:rPr>
            </w:pPr>
            <w:r>
              <w:rPr>
                <w:rFonts w:ascii="Calibri" w:hAnsi="Calibri" w:cs="Calibri"/>
                <w:color w:val="000000"/>
              </w:rPr>
              <w:t>9%</w:t>
            </w:r>
          </w:p>
        </w:tc>
        <w:tc>
          <w:tcPr>
            <w:tcW w:w="1395" w:type="dxa"/>
            <w:vAlign w:val="bottom"/>
          </w:tcPr>
          <w:p w14:paraId="24205175" w14:textId="3CDA2E51" w:rsidR="001A6B46" w:rsidRDefault="001A6B46" w:rsidP="001A6B46">
            <w:pPr>
              <w:jc w:val="center"/>
              <w:rPr>
                <w:sz w:val="24"/>
                <w:szCs w:val="24"/>
              </w:rPr>
            </w:pPr>
            <w:r>
              <w:rPr>
                <w:rFonts w:ascii="Calibri" w:hAnsi="Calibri" w:cs="Calibri"/>
                <w:color w:val="000000"/>
              </w:rPr>
              <w:t>10%</w:t>
            </w:r>
          </w:p>
        </w:tc>
        <w:tc>
          <w:tcPr>
            <w:tcW w:w="1395" w:type="dxa"/>
            <w:vAlign w:val="bottom"/>
          </w:tcPr>
          <w:p w14:paraId="06E1CCCD" w14:textId="192FBE95" w:rsidR="001A6B46" w:rsidRDefault="001A6B46" w:rsidP="001A6B46">
            <w:pPr>
              <w:jc w:val="center"/>
              <w:rPr>
                <w:sz w:val="24"/>
                <w:szCs w:val="24"/>
              </w:rPr>
            </w:pPr>
            <w:r>
              <w:rPr>
                <w:rFonts w:ascii="Calibri" w:hAnsi="Calibri" w:cs="Calibri"/>
                <w:color w:val="000000"/>
              </w:rPr>
              <w:t>9%</w:t>
            </w:r>
          </w:p>
        </w:tc>
        <w:tc>
          <w:tcPr>
            <w:tcW w:w="1395" w:type="dxa"/>
            <w:vAlign w:val="bottom"/>
          </w:tcPr>
          <w:p w14:paraId="1F7A790A" w14:textId="57AF15D8" w:rsidR="001A6B46" w:rsidRDefault="001A6B46" w:rsidP="001A6B46">
            <w:pPr>
              <w:jc w:val="center"/>
              <w:rPr>
                <w:sz w:val="24"/>
                <w:szCs w:val="24"/>
              </w:rPr>
            </w:pPr>
            <w:r>
              <w:rPr>
                <w:rFonts w:ascii="Calibri" w:hAnsi="Calibri" w:cs="Calibri"/>
                <w:color w:val="000000"/>
              </w:rPr>
              <w:t>11%</w:t>
            </w:r>
          </w:p>
        </w:tc>
      </w:tr>
      <w:tr w:rsidR="001A6B46" w14:paraId="74C2128C" w14:textId="77777777" w:rsidTr="00B45BB4">
        <w:tc>
          <w:tcPr>
            <w:tcW w:w="3119" w:type="dxa"/>
            <w:vAlign w:val="bottom"/>
          </w:tcPr>
          <w:p w14:paraId="0EBE6300" w14:textId="62242583" w:rsidR="001A6B46" w:rsidRDefault="001A6B46" w:rsidP="004C683A">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direct grazing</w:t>
            </w:r>
          </w:p>
        </w:tc>
        <w:tc>
          <w:tcPr>
            <w:tcW w:w="1394" w:type="dxa"/>
            <w:vAlign w:val="bottom"/>
          </w:tcPr>
          <w:p w14:paraId="38E8A6BB" w14:textId="72E5F6C0" w:rsidR="001A6B46" w:rsidRDefault="001A6B46" w:rsidP="001A6B46">
            <w:pPr>
              <w:jc w:val="center"/>
              <w:rPr>
                <w:sz w:val="24"/>
                <w:szCs w:val="24"/>
              </w:rPr>
            </w:pPr>
            <w:r>
              <w:rPr>
                <w:rFonts w:ascii="Calibri" w:hAnsi="Calibri" w:cs="Calibri"/>
                <w:color w:val="000000"/>
              </w:rPr>
              <w:t>3%</w:t>
            </w:r>
          </w:p>
        </w:tc>
        <w:tc>
          <w:tcPr>
            <w:tcW w:w="1395" w:type="dxa"/>
            <w:vAlign w:val="bottom"/>
          </w:tcPr>
          <w:p w14:paraId="50512275" w14:textId="7B382A8B" w:rsidR="001A6B46" w:rsidRDefault="001A6B46" w:rsidP="001A6B46">
            <w:pPr>
              <w:jc w:val="center"/>
              <w:rPr>
                <w:sz w:val="24"/>
                <w:szCs w:val="24"/>
              </w:rPr>
            </w:pPr>
            <w:r>
              <w:rPr>
                <w:rFonts w:ascii="Calibri" w:hAnsi="Calibri" w:cs="Calibri"/>
                <w:color w:val="000000"/>
              </w:rPr>
              <w:t>3%</w:t>
            </w:r>
          </w:p>
        </w:tc>
        <w:tc>
          <w:tcPr>
            <w:tcW w:w="1395" w:type="dxa"/>
            <w:vAlign w:val="bottom"/>
          </w:tcPr>
          <w:p w14:paraId="53A3CA21" w14:textId="34C50E02" w:rsidR="001A6B46" w:rsidRDefault="001A6B46" w:rsidP="001A6B46">
            <w:pPr>
              <w:jc w:val="center"/>
              <w:rPr>
                <w:sz w:val="24"/>
                <w:szCs w:val="24"/>
              </w:rPr>
            </w:pPr>
            <w:r>
              <w:rPr>
                <w:rFonts w:ascii="Calibri" w:hAnsi="Calibri" w:cs="Calibri"/>
                <w:color w:val="000000"/>
              </w:rPr>
              <w:t>3%</w:t>
            </w:r>
          </w:p>
        </w:tc>
        <w:tc>
          <w:tcPr>
            <w:tcW w:w="1395" w:type="dxa"/>
            <w:vAlign w:val="bottom"/>
          </w:tcPr>
          <w:p w14:paraId="4D8E35D8" w14:textId="06B731C8" w:rsidR="001A6B46" w:rsidRDefault="001A6B46" w:rsidP="001A6B46">
            <w:pPr>
              <w:jc w:val="center"/>
              <w:rPr>
                <w:sz w:val="24"/>
                <w:szCs w:val="24"/>
              </w:rPr>
            </w:pPr>
            <w:r>
              <w:rPr>
                <w:rFonts w:ascii="Calibri" w:hAnsi="Calibri" w:cs="Calibri"/>
                <w:color w:val="000000"/>
              </w:rPr>
              <w:t>3%</w:t>
            </w:r>
          </w:p>
        </w:tc>
        <w:tc>
          <w:tcPr>
            <w:tcW w:w="1395" w:type="dxa"/>
            <w:vAlign w:val="bottom"/>
          </w:tcPr>
          <w:p w14:paraId="63B481D9" w14:textId="3CFD6AF9" w:rsidR="001A6B46" w:rsidRDefault="001A6B46" w:rsidP="001A6B46">
            <w:pPr>
              <w:jc w:val="center"/>
              <w:rPr>
                <w:sz w:val="24"/>
                <w:szCs w:val="24"/>
              </w:rPr>
            </w:pPr>
            <w:r>
              <w:rPr>
                <w:rFonts w:ascii="Calibri" w:hAnsi="Calibri" w:cs="Calibri"/>
                <w:color w:val="000000"/>
              </w:rPr>
              <w:t>3%</w:t>
            </w:r>
          </w:p>
        </w:tc>
        <w:tc>
          <w:tcPr>
            <w:tcW w:w="1395" w:type="dxa"/>
            <w:vAlign w:val="bottom"/>
          </w:tcPr>
          <w:p w14:paraId="1EE64EA1" w14:textId="60FD9777" w:rsidR="001A6B46" w:rsidRDefault="001A6B46" w:rsidP="001A6B46">
            <w:pPr>
              <w:jc w:val="center"/>
              <w:rPr>
                <w:sz w:val="24"/>
                <w:szCs w:val="24"/>
              </w:rPr>
            </w:pPr>
            <w:r>
              <w:rPr>
                <w:rFonts w:ascii="Calibri" w:hAnsi="Calibri" w:cs="Calibri"/>
                <w:color w:val="000000"/>
              </w:rPr>
              <w:t>3%</w:t>
            </w:r>
          </w:p>
        </w:tc>
        <w:tc>
          <w:tcPr>
            <w:tcW w:w="1395" w:type="dxa"/>
            <w:vAlign w:val="bottom"/>
          </w:tcPr>
          <w:p w14:paraId="04634671" w14:textId="7BA8953B" w:rsidR="001A6B46" w:rsidRDefault="001A6B46" w:rsidP="001A6B46">
            <w:pPr>
              <w:jc w:val="center"/>
              <w:rPr>
                <w:sz w:val="24"/>
                <w:szCs w:val="24"/>
              </w:rPr>
            </w:pPr>
            <w:r>
              <w:rPr>
                <w:rFonts w:ascii="Calibri" w:hAnsi="Calibri" w:cs="Calibri"/>
                <w:color w:val="000000"/>
              </w:rPr>
              <w:t>3%</w:t>
            </w:r>
          </w:p>
        </w:tc>
        <w:tc>
          <w:tcPr>
            <w:tcW w:w="1395" w:type="dxa"/>
            <w:vAlign w:val="bottom"/>
          </w:tcPr>
          <w:p w14:paraId="6F920942" w14:textId="0D71F2F2" w:rsidR="001A6B46" w:rsidRDefault="001A6B46" w:rsidP="001A6B46">
            <w:pPr>
              <w:jc w:val="center"/>
              <w:rPr>
                <w:sz w:val="24"/>
                <w:szCs w:val="24"/>
              </w:rPr>
            </w:pPr>
            <w:r>
              <w:rPr>
                <w:rFonts w:ascii="Calibri" w:hAnsi="Calibri" w:cs="Calibri"/>
                <w:color w:val="000000"/>
              </w:rPr>
              <w:t>3%</w:t>
            </w:r>
          </w:p>
        </w:tc>
      </w:tr>
      <w:tr w:rsidR="001A6B46" w14:paraId="61431F76" w14:textId="77777777" w:rsidTr="00B45BB4">
        <w:tc>
          <w:tcPr>
            <w:tcW w:w="3119" w:type="dxa"/>
            <w:vAlign w:val="bottom"/>
          </w:tcPr>
          <w:p w14:paraId="544E8270" w14:textId="2222391A" w:rsidR="001A6B46" w:rsidRDefault="001A6B46" w:rsidP="004C683A">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Manure storage &amp; spread</w:t>
            </w:r>
          </w:p>
        </w:tc>
        <w:tc>
          <w:tcPr>
            <w:tcW w:w="1394" w:type="dxa"/>
            <w:vAlign w:val="bottom"/>
          </w:tcPr>
          <w:p w14:paraId="62EEED02" w14:textId="6781E0CA" w:rsidR="001A6B46" w:rsidRDefault="001A6B46" w:rsidP="001A6B46">
            <w:pPr>
              <w:jc w:val="center"/>
              <w:rPr>
                <w:sz w:val="24"/>
                <w:szCs w:val="24"/>
              </w:rPr>
            </w:pPr>
            <w:r>
              <w:rPr>
                <w:rFonts w:ascii="Calibri" w:hAnsi="Calibri" w:cs="Calibri"/>
                <w:color w:val="000000"/>
              </w:rPr>
              <w:t>1%</w:t>
            </w:r>
          </w:p>
        </w:tc>
        <w:tc>
          <w:tcPr>
            <w:tcW w:w="1395" w:type="dxa"/>
            <w:vAlign w:val="bottom"/>
          </w:tcPr>
          <w:p w14:paraId="03075C44" w14:textId="7C998C08" w:rsidR="001A6B46" w:rsidRDefault="001A6B46" w:rsidP="001A6B46">
            <w:pPr>
              <w:jc w:val="center"/>
              <w:rPr>
                <w:sz w:val="24"/>
                <w:szCs w:val="24"/>
              </w:rPr>
            </w:pPr>
            <w:r>
              <w:rPr>
                <w:rFonts w:ascii="Calibri" w:hAnsi="Calibri" w:cs="Calibri"/>
                <w:color w:val="000000"/>
              </w:rPr>
              <w:t>1%</w:t>
            </w:r>
          </w:p>
        </w:tc>
        <w:tc>
          <w:tcPr>
            <w:tcW w:w="1395" w:type="dxa"/>
            <w:vAlign w:val="bottom"/>
          </w:tcPr>
          <w:p w14:paraId="4C6B5DD1" w14:textId="299E0944" w:rsidR="001A6B46" w:rsidRDefault="001A6B46" w:rsidP="001A6B46">
            <w:pPr>
              <w:jc w:val="center"/>
              <w:rPr>
                <w:sz w:val="24"/>
                <w:szCs w:val="24"/>
              </w:rPr>
            </w:pPr>
            <w:r>
              <w:rPr>
                <w:rFonts w:ascii="Calibri" w:hAnsi="Calibri" w:cs="Calibri"/>
                <w:color w:val="000000"/>
              </w:rPr>
              <w:t>1%</w:t>
            </w:r>
          </w:p>
        </w:tc>
        <w:tc>
          <w:tcPr>
            <w:tcW w:w="1395" w:type="dxa"/>
            <w:vAlign w:val="bottom"/>
          </w:tcPr>
          <w:p w14:paraId="4DFAEED9" w14:textId="2ED64102" w:rsidR="001A6B46" w:rsidRDefault="001A6B46" w:rsidP="001A6B46">
            <w:pPr>
              <w:jc w:val="center"/>
              <w:rPr>
                <w:sz w:val="24"/>
                <w:szCs w:val="24"/>
              </w:rPr>
            </w:pPr>
            <w:r>
              <w:rPr>
                <w:rFonts w:ascii="Calibri" w:hAnsi="Calibri" w:cs="Calibri"/>
                <w:color w:val="000000"/>
              </w:rPr>
              <w:t>1%</w:t>
            </w:r>
          </w:p>
        </w:tc>
        <w:tc>
          <w:tcPr>
            <w:tcW w:w="1395" w:type="dxa"/>
            <w:vAlign w:val="bottom"/>
          </w:tcPr>
          <w:p w14:paraId="2EA9D619" w14:textId="6C88B241" w:rsidR="001A6B46" w:rsidRDefault="001A6B46" w:rsidP="001A6B46">
            <w:pPr>
              <w:jc w:val="center"/>
              <w:rPr>
                <w:sz w:val="24"/>
                <w:szCs w:val="24"/>
              </w:rPr>
            </w:pPr>
            <w:r>
              <w:rPr>
                <w:rFonts w:ascii="Calibri" w:hAnsi="Calibri" w:cs="Calibri"/>
                <w:color w:val="000000"/>
              </w:rPr>
              <w:t>1%</w:t>
            </w:r>
          </w:p>
        </w:tc>
        <w:tc>
          <w:tcPr>
            <w:tcW w:w="1395" w:type="dxa"/>
            <w:vAlign w:val="bottom"/>
          </w:tcPr>
          <w:p w14:paraId="448739B3" w14:textId="532B6139" w:rsidR="001A6B46" w:rsidRDefault="001A6B46" w:rsidP="001A6B46">
            <w:pPr>
              <w:jc w:val="center"/>
              <w:rPr>
                <w:sz w:val="24"/>
                <w:szCs w:val="24"/>
              </w:rPr>
            </w:pPr>
            <w:r>
              <w:rPr>
                <w:rFonts w:ascii="Calibri" w:hAnsi="Calibri" w:cs="Calibri"/>
                <w:color w:val="000000"/>
              </w:rPr>
              <w:t>1%</w:t>
            </w:r>
          </w:p>
        </w:tc>
        <w:tc>
          <w:tcPr>
            <w:tcW w:w="1395" w:type="dxa"/>
            <w:vAlign w:val="bottom"/>
          </w:tcPr>
          <w:p w14:paraId="12BD5FD9" w14:textId="423D9A0E" w:rsidR="001A6B46" w:rsidRDefault="001A6B46" w:rsidP="001A6B46">
            <w:pPr>
              <w:jc w:val="center"/>
              <w:rPr>
                <w:sz w:val="24"/>
                <w:szCs w:val="24"/>
              </w:rPr>
            </w:pPr>
            <w:r>
              <w:rPr>
                <w:rFonts w:ascii="Calibri" w:hAnsi="Calibri" w:cs="Calibri"/>
                <w:color w:val="000000"/>
              </w:rPr>
              <w:t>1%</w:t>
            </w:r>
          </w:p>
        </w:tc>
        <w:tc>
          <w:tcPr>
            <w:tcW w:w="1395" w:type="dxa"/>
            <w:vAlign w:val="bottom"/>
          </w:tcPr>
          <w:p w14:paraId="0612B6D1" w14:textId="504BD677" w:rsidR="001A6B46" w:rsidRDefault="001A6B46" w:rsidP="001A6B46">
            <w:pPr>
              <w:jc w:val="center"/>
              <w:rPr>
                <w:sz w:val="24"/>
                <w:szCs w:val="24"/>
              </w:rPr>
            </w:pPr>
            <w:r>
              <w:rPr>
                <w:rFonts w:ascii="Calibri" w:hAnsi="Calibri" w:cs="Calibri"/>
                <w:color w:val="000000"/>
              </w:rPr>
              <w:t>1%</w:t>
            </w:r>
          </w:p>
        </w:tc>
      </w:tr>
      <w:tr w:rsidR="001A6B46" w14:paraId="152AE252" w14:textId="77777777" w:rsidTr="00B45BB4">
        <w:tc>
          <w:tcPr>
            <w:tcW w:w="3119" w:type="dxa"/>
            <w:vAlign w:val="bottom"/>
          </w:tcPr>
          <w:p w14:paraId="671ACFFA" w14:textId="76330CFD" w:rsidR="001A6B46" w:rsidRDefault="001A6B46" w:rsidP="004C683A">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Indirect N waste</w:t>
            </w:r>
          </w:p>
        </w:tc>
        <w:tc>
          <w:tcPr>
            <w:tcW w:w="1394" w:type="dxa"/>
            <w:vAlign w:val="bottom"/>
          </w:tcPr>
          <w:p w14:paraId="0AA9890F" w14:textId="086F62BC" w:rsidR="001A6B46" w:rsidRDefault="001A6B46" w:rsidP="001A6B46">
            <w:pPr>
              <w:jc w:val="center"/>
              <w:rPr>
                <w:sz w:val="24"/>
                <w:szCs w:val="24"/>
              </w:rPr>
            </w:pPr>
            <w:r>
              <w:rPr>
                <w:rFonts w:ascii="Calibri" w:hAnsi="Calibri" w:cs="Calibri"/>
                <w:color w:val="000000"/>
              </w:rPr>
              <w:t>2%</w:t>
            </w:r>
          </w:p>
        </w:tc>
        <w:tc>
          <w:tcPr>
            <w:tcW w:w="1395" w:type="dxa"/>
            <w:vAlign w:val="bottom"/>
          </w:tcPr>
          <w:p w14:paraId="24FBB2C2" w14:textId="342B6F0F" w:rsidR="001A6B46" w:rsidRDefault="001A6B46" w:rsidP="001A6B46">
            <w:pPr>
              <w:jc w:val="center"/>
              <w:rPr>
                <w:sz w:val="24"/>
                <w:szCs w:val="24"/>
              </w:rPr>
            </w:pPr>
            <w:r>
              <w:rPr>
                <w:rFonts w:ascii="Calibri" w:hAnsi="Calibri" w:cs="Calibri"/>
                <w:color w:val="000000"/>
              </w:rPr>
              <w:t>2%</w:t>
            </w:r>
          </w:p>
        </w:tc>
        <w:tc>
          <w:tcPr>
            <w:tcW w:w="1395" w:type="dxa"/>
            <w:vAlign w:val="bottom"/>
          </w:tcPr>
          <w:p w14:paraId="670579B1" w14:textId="01506519" w:rsidR="001A6B46" w:rsidRDefault="001A6B46" w:rsidP="001A6B46">
            <w:pPr>
              <w:jc w:val="center"/>
              <w:rPr>
                <w:sz w:val="24"/>
                <w:szCs w:val="24"/>
              </w:rPr>
            </w:pPr>
            <w:r>
              <w:rPr>
                <w:rFonts w:ascii="Calibri" w:hAnsi="Calibri" w:cs="Calibri"/>
                <w:color w:val="000000"/>
              </w:rPr>
              <w:t>2%</w:t>
            </w:r>
          </w:p>
        </w:tc>
        <w:tc>
          <w:tcPr>
            <w:tcW w:w="1395" w:type="dxa"/>
            <w:vAlign w:val="bottom"/>
          </w:tcPr>
          <w:p w14:paraId="581A6480" w14:textId="044330F9" w:rsidR="001A6B46" w:rsidRDefault="001A6B46" w:rsidP="001A6B46">
            <w:pPr>
              <w:jc w:val="center"/>
              <w:rPr>
                <w:sz w:val="24"/>
                <w:szCs w:val="24"/>
              </w:rPr>
            </w:pPr>
            <w:r>
              <w:rPr>
                <w:rFonts w:ascii="Calibri" w:hAnsi="Calibri" w:cs="Calibri"/>
                <w:color w:val="000000"/>
              </w:rPr>
              <w:t>1%</w:t>
            </w:r>
          </w:p>
        </w:tc>
        <w:tc>
          <w:tcPr>
            <w:tcW w:w="1395" w:type="dxa"/>
            <w:vAlign w:val="bottom"/>
          </w:tcPr>
          <w:p w14:paraId="078E5D3E" w14:textId="20BA7F7A" w:rsidR="001A6B46" w:rsidRDefault="001A6B46" w:rsidP="001A6B46">
            <w:pPr>
              <w:jc w:val="center"/>
              <w:rPr>
                <w:sz w:val="24"/>
                <w:szCs w:val="24"/>
              </w:rPr>
            </w:pPr>
            <w:r>
              <w:rPr>
                <w:rFonts w:ascii="Calibri" w:hAnsi="Calibri" w:cs="Calibri"/>
                <w:color w:val="000000"/>
              </w:rPr>
              <w:t>2%</w:t>
            </w:r>
          </w:p>
        </w:tc>
        <w:tc>
          <w:tcPr>
            <w:tcW w:w="1395" w:type="dxa"/>
            <w:vAlign w:val="bottom"/>
          </w:tcPr>
          <w:p w14:paraId="7B9BC5B9" w14:textId="2DB92114" w:rsidR="001A6B46" w:rsidRDefault="001A6B46" w:rsidP="001A6B46">
            <w:pPr>
              <w:jc w:val="center"/>
              <w:rPr>
                <w:sz w:val="24"/>
                <w:szCs w:val="24"/>
              </w:rPr>
            </w:pPr>
            <w:r>
              <w:rPr>
                <w:rFonts w:ascii="Calibri" w:hAnsi="Calibri" w:cs="Calibri"/>
                <w:color w:val="000000"/>
              </w:rPr>
              <w:t>2%</w:t>
            </w:r>
          </w:p>
        </w:tc>
        <w:tc>
          <w:tcPr>
            <w:tcW w:w="1395" w:type="dxa"/>
            <w:vAlign w:val="bottom"/>
          </w:tcPr>
          <w:p w14:paraId="21FD3EDF" w14:textId="3236C7D5" w:rsidR="001A6B46" w:rsidRDefault="001A6B46" w:rsidP="001A6B46">
            <w:pPr>
              <w:jc w:val="center"/>
              <w:rPr>
                <w:sz w:val="24"/>
                <w:szCs w:val="24"/>
              </w:rPr>
            </w:pPr>
            <w:r>
              <w:rPr>
                <w:rFonts w:ascii="Calibri" w:hAnsi="Calibri" w:cs="Calibri"/>
                <w:color w:val="000000"/>
              </w:rPr>
              <w:t>2%</w:t>
            </w:r>
          </w:p>
        </w:tc>
        <w:tc>
          <w:tcPr>
            <w:tcW w:w="1395" w:type="dxa"/>
            <w:vAlign w:val="bottom"/>
          </w:tcPr>
          <w:p w14:paraId="0B61C3D0" w14:textId="7A9D041D" w:rsidR="001A6B46" w:rsidRDefault="001A6B46" w:rsidP="001A6B46">
            <w:pPr>
              <w:jc w:val="center"/>
              <w:rPr>
                <w:sz w:val="24"/>
                <w:szCs w:val="24"/>
              </w:rPr>
            </w:pPr>
            <w:r>
              <w:rPr>
                <w:rFonts w:ascii="Calibri" w:hAnsi="Calibri" w:cs="Calibri"/>
                <w:color w:val="000000"/>
              </w:rPr>
              <w:t>2%</w:t>
            </w:r>
          </w:p>
        </w:tc>
      </w:tr>
      <w:tr w:rsidR="001A6B46" w14:paraId="14D91809" w14:textId="77777777" w:rsidTr="00B45BB4">
        <w:tc>
          <w:tcPr>
            <w:tcW w:w="3119" w:type="dxa"/>
            <w:vAlign w:val="bottom"/>
          </w:tcPr>
          <w:p w14:paraId="29390ECD" w14:textId="6A6BE881" w:rsidR="001A6B46" w:rsidRDefault="001A6B46" w:rsidP="004C683A">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Direct N fert</w:t>
            </w:r>
            <w:r w:rsidR="002F3A2D">
              <w:rPr>
                <w:rFonts w:ascii="Calibri" w:hAnsi="Calibri" w:cs="Calibri"/>
                <w:color w:val="000000"/>
              </w:rPr>
              <w:t>iliser</w:t>
            </w:r>
          </w:p>
        </w:tc>
        <w:tc>
          <w:tcPr>
            <w:tcW w:w="1394" w:type="dxa"/>
            <w:vAlign w:val="bottom"/>
          </w:tcPr>
          <w:p w14:paraId="0CF98BFE" w14:textId="74B3CAE6" w:rsidR="001A6B46" w:rsidRDefault="001A6B46" w:rsidP="001A6B46">
            <w:pPr>
              <w:jc w:val="center"/>
              <w:rPr>
                <w:sz w:val="24"/>
                <w:szCs w:val="24"/>
              </w:rPr>
            </w:pPr>
            <w:r>
              <w:rPr>
                <w:rFonts w:ascii="Calibri" w:hAnsi="Calibri" w:cs="Calibri"/>
                <w:color w:val="000000"/>
              </w:rPr>
              <w:t>3%</w:t>
            </w:r>
          </w:p>
        </w:tc>
        <w:tc>
          <w:tcPr>
            <w:tcW w:w="1395" w:type="dxa"/>
            <w:vAlign w:val="bottom"/>
          </w:tcPr>
          <w:p w14:paraId="5C7C479E" w14:textId="307BD39D" w:rsidR="001A6B46" w:rsidRDefault="001A6B46" w:rsidP="001A6B46">
            <w:pPr>
              <w:jc w:val="center"/>
              <w:rPr>
                <w:sz w:val="24"/>
                <w:szCs w:val="24"/>
              </w:rPr>
            </w:pPr>
            <w:r>
              <w:rPr>
                <w:rFonts w:ascii="Calibri" w:hAnsi="Calibri" w:cs="Calibri"/>
                <w:color w:val="000000"/>
              </w:rPr>
              <w:t>3%</w:t>
            </w:r>
          </w:p>
        </w:tc>
        <w:tc>
          <w:tcPr>
            <w:tcW w:w="1395" w:type="dxa"/>
            <w:vAlign w:val="bottom"/>
          </w:tcPr>
          <w:p w14:paraId="26D46904" w14:textId="197203D5" w:rsidR="001A6B46" w:rsidRDefault="001A6B46" w:rsidP="001A6B46">
            <w:pPr>
              <w:jc w:val="center"/>
              <w:rPr>
                <w:sz w:val="24"/>
                <w:szCs w:val="24"/>
              </w:rPr>
            </w:pPr>
            <w:r>
              <w:rPr>
                <w:rFonts w:ascii="Calibri" w:hAnsi="Calibri" w:cs="Calibri"/>
                <w:color w:val="000000"/>
              </w:rPr>
              <w:t>3%</w:t>
            </w:r>
          </w:p>
        </w:tc>
        <w:tc>
          <w:tcPr>
            <w:tcW w:w="1395" w:type="dxa"/>
            <w:vAlign w:val="bottom"/>
          </w:tcPr>
          <w:p w14:paraId="3DCD9884" w14:textId="4609B508" w:rsidR="001A6B46" w:rsidRDefault="001A6B46" w:rsidP="001A6B46">
            <w:pPr>
              <w:jc w:val="center"/>
              <w:rPr>
                <w:sz w:val="24"/>
                <w:szCs w:val="24"/>
              </w:rPr>
            </w:pPr>
            <w:r>
              <w:rPr>
                <w:rFonts w:ascii="Calibri" w:hAnsi="Calibri" w:cs="Calibri"/>
                <w:color w:val="000000"/>
              </w:rPr>
              <w:t>3%</w:t>
            </w:r>
          </w:p>
        </w:tc>
        <w:tc>
          <w:tcPr>
            <w:tcW w:w="1395" w:type="dxa"/>
            <w:vAlign w:val="bottom"/>
          </w:tcPr>
          <w:p w14:paraId="1360E688" w14:textId="7D72C5A6" w:rsidR="001A6B46" w:rsidRDefault="001A6B46" w:rsidP="001A6B46">
            <w:pPr>
              <w:jc w:val="center"/>
              <w:rPr>
                <w:sz w:val="24"/>
                <w:szCs w:val="24"/>
              </w:rPr>
            </w:pPr>
            <w:r>
              <w:rPr>
                <w:rFonts w:ascii="Calibri" w:hAnsi="Calibri" w:cs="Calibri"/>
                <w:color w:val="000000"/>
              </w:rPr>
              <w:t>3%</w:t>
            </w:r>
          </w:p>
        </w:tc>
        <w:tc>
          <w:tcPr>
            <w:tcW w:w="1395" w:type="dxa"/>
            <w:vAlign w:val="bottom"/>
          </w:tcPr>
          <w:p w14:paraId="0778BC70" w14:textId="37157807" w:rsidR="001A6B46" w:rsidRDefault="001A6B46" w:rsidP="001A6B46">
            <w:pPr>
              <w:jc w:val="center"/>
              <w:rPr>
                <w:sz w:val="24"/>
                <w:szCs w:val="24"/>
              </w:rPr>
            </w:pPr>
            <w:r>
              <w:rPr>
                <w:rFonts w:ascii="Calibri" w:hAnsi="Calibri" w:cs="Calibri"/>
                <w:color w:val="000000"/>
              </w:rPr>
              <w:t>3%</w:t>
            </w:r>
          </w:p>
        </w:tc>
        <w:tc>
          <w:tcPr>
            <w:tcW w:w="1395" w:type="dxa"/>
            <w:vAlign w:val="bottom"/>
          </w:tcPr>
          <w:p w14:paraId="3DE1BDAC" w14:textId="4DAA6ECC" w:rsidR="001A6B46" w:rsidRDefault="001A6B46" w:rsidP="001A6B46">
            <w:pPr>
              <w:jc w:val="center"/>
              <w:rPr>
                <w:sz w:val="24"/>
                <w:szCs w:val="24"/>
              </w:rPr>
            </w:pPr>
            <w:r>
              <w:rPr>
                <w:rFonts w:ascii="Calibri" w:hAnsi="Calibri" w:cs="Calibri"/>
                <w:color w:val="000000"/>
              </w:rPr>
              <w:t>3%</w:t>
            </w:r>
          </w:p>
        </w:tc>
        <w:tc>
          <w:tcPr>
            <w:tcW w:w="1395" w:type="dxa"/>
            <w:vAlign w:val="bottom"/>
          </w:tcPr>
          <w:p w14:paraId="1836570A" w14:textId="1E69622D" w:rsidR="001A6B46" w:rsidRDefault="001A6B46" w:rsidP="001A6B46">
            <w:pPr>
              <w:jc w:val="center"/>
              <w:rPr>
                <w:sz w:val="24"/>
                <w:szCs w:val="24"/>
              </w:rPr>
            </w:pPr>
            <w:r>
              <w:rPr>
                <w:rFonts w:ascii="Calibri" w:hAnsi="Calibri" w:cs="Calibri"/>
                <w:color w:val="000000"/>
              </w:rPr>
              <w:t>3%</w:t>
            </w:r>
          </w:p>
        </w:tc>
      </w:tr>
      <w:tr w:rsidR="001A6B46" w14:paraId="0FE13DCC" w14:textId="77777777" w:rsidTr="00B45BB4">
        <w:tc>
          <w:tcPr>
            <w:tcW w:w="3119" w:type="dxa"/>
            <w:vAlign w:val="bottom"/>
          </w:tcPr>
          <w:p w14:paraId="677BD753" w14:textId="75431A44" w:rsidR="001A6B46" w:rsidRDefault="000320C5" w:rsidP="004C683A">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 xml:space="preserve">O </w:t>
            </w:r>
            <w:r w:rsidR="001A6B46">
              <w:rPr>
                <w:rFonts w:ascii="Calibri" w:hAnsi="Calibri" w:cs="Calibri"/>
                <w:color w:val="000000"/>
              </w:rPr>
              <w:t>Indirect N fert</w:t>
            </w:r>
            <w:r w:rsidR="002F3A2D">
              <w:rPr>
                <w:rFonts w:ascii="Calibri" w:hAnsi="Calibri" w:cs="Calibri"/>
                <w:color w:val="000000"/>
              </w:rPr>
              <w:t>iliser</w:t>
            </w:r>
          </w:p>
        </w:tc>
        <w:tc>
          <w:tcPr>
            <w:tcW w:w="1394" w:type="dxa"/>
            <w:vAlign w:val="bottom"/>
          </w:tcPr>
          <w:p w14:paraId="150084FD" w14:textId="4BE81890" w:rsidR="001A6B46" w:rsidRDefault="001A6B46" w:rsidP="001A6B46">
            <w:pPr>
              <w:jc w:val="center"/>
              <w:rPr>
                <w:sz w:val="24"/>
                <w:szCs w:val="24"/>
              </w:rPr>
            </w:pPr>
            <w:r>
              <w:rPr>
                <w:rFonts w:ascii="Calibri" w:hAnsi="Calibri" w:cs="Calibri"/>
                <w:color w:val="000000"/>
              </w:rPr>
              <w:t>2%</w:t>
            </w:r>
          </w:p>
        </w:tc>
        <w:tc>
          <w:tcPr>
            <w:tcW w:w="1395" w:type="dxa"/>
            <w:vAlign w:val="bottom"/>
          </w:tcPr>
          <w:p w14:paraId="4FFA9EB9" w14:textId="22031957" w:rsidR="001A6B46" w:rsidRDefault="001A6B46" w:rsidP="001A6B46">
            <w:pPr>
              <w:jc w:val="center"/>
              <w:rPr>
                <w:sz w:val="24"/>
                <w:szCs w:val="24"/>
              </w:rPr>
            </w:pPr>
            <w:r>
              <w:rPr>
                <w:rFonts w:ascii="Calibri" w:hAnsi="Calibri" w:cs="Calibri"/>
                <w:color w:val="000000"/>
              </w:rPr>
              <w:t>2%</w:t>
            </w:r>
          </w:p>
        </w:tc>
        <w:tc>
          <w:tcPr>
            <w:tcW w:w="1395" w:type="dxa"/>
            <w:vAlign w:val="bottom"/>
          </w:tcPr>
          <w:p w14:paraId="5CA7FD9E" w14:textId="6BEFEDF4" w:rsidR="001A6B46" w:rsidRDefault="001A6B46" w:rsidP="001A6B46">
            <w:pPr>
              <w:jc w:val="center"/>
              <w:rPr>
                <w:sz w:val="24"/>
                <w:szCs w:val="24"/>
              </w:rPr>
            </w:pPr>
            <w:r>
              <w:rPr>
                <w:rFonts w:ascii="Calibri" w:hAnsi="Calibri" w:cs="Calibri"/>
                <w:color w:val="000000"/>
              </w:rPr>
              <w:t>2%</w:t>
            </w:r>
          </w:p>
        </w:tc>
        <w:tc>
          <w:tcPr>
            <w:tcW w:w="1395" w:type="dxa"/>
            <w:vAlign w:val="bottom"/>
          </w:tcPr>
          <w:p w14:paraId="33B96B25" w14:textId="6E889130" w:rsidR="001A6B46" w:rsidRDefault="001A6B46" w:rsidP="001A6B46">
            <w:pPr>
              <w:jc w:val="center"/>
              <w:rPr>
                <w:sz w:val="24"/>
                <w:szCs w:val="24"/>
              </w:rPr>
            </w:pPr>
            <w:r>
              <w:rPr>
                <w:rFonts w:ascii="Calibri" w:hAnsi="Calibri" w:cs="Calibri"/>
                <w:color w:val="000000"/>
              </w:rPr>
              <w:t>1%</w:t>
            </w:r>
          </w:p>
        </w:tc>
        <w:tc>
          <w:tcPr>
            <w:tcW w:w="1395" w:type="dxa"/>
            <w:vAlign w:val="bottom"/>
          </w:tcPr>
          <w:p w14:paraId="6B502EA0" w14:textId="0836DFD8" w:rsidR="001A6B46" w:rsidRDefault="001A6B46" w:rsidP="001A6B46">
            <w:pPr>
              <w:jc w:val="center"/>
              <w:rPr>
                <w:sz w:val="24"/>
                <w:szCs w:val="24"/>
              </w:rPr>
            </w:pPr>
            <w:r>
              <w:rPr>
                <w:rFonts w:ascii="Calibri" w:hAnsi="Calibri" w:cs="Calibri"/>
                <w:color w:val="000000"/>
              </w:rPr>
              <w:t>2%</w:t>
            </w:r>
          </w:p>
        </w:tc>
        <w:tc>
          <w:tcPr>
            <w:tcW w:w="1395" w:type="dxa"/>
            <w:vAlign w:val="bottom"/>
          </w:tcPr>
          <w:p w14:paraId="7E199533" w14:textId="3C360942" w:rsidR="001A6B46" w:rsidRDefault="001A6B46" w:rsidP="001A6B46">
            <w:pPr>
              <w:jc w:val="center"/>
              <w:rPr>
                <w:sz w:val="24"/>
                <w:szCs w:val="24"/>
              </w:rPr>
            </w:pPr>
            <w:r>
              <w:rPr>
                <w:rFonts w:ascii="Calibri" w:hAnsi="Calibri" w:cs="Calibri"/>
                <w:color w:val="000000"/>
              </w:rPr>
              <w:t>2%</w:t>
            </w:r>
          </w:p>
        </w:tc>
        <w:tc>
          <w:tcPr>
            <w:tcW w:w="1395" w:type="dxa"/>
            <w:vAlign w:val="bottom"/>
          </w:tcPr>
          <w:p w14:paraId="367DC714" w14:textId="000DEDC4" w:rsidR="001A6B46" w:rsidRDefault="001A6B46" w:rsidP="001A6B46">
            <w:pPr>
              <w:jc w:val="center"/>
              <w:rPr>
                <w:sz w:val="24"/>
                <w:szCs w:val="24"/>
              </w:rPr>
            </w:pPr>
            <w:r>
              <w:rPr>
                <w:rFonts w:ascii="Calibri" w:hAnsi="Calibri" w:cs="Calibri"/>
                <w:color w:val="000000"/>
              </w:rPr>
              <w:t>2%</w:t>
            </w:r>
          </w:p>
        </w:tc>
        <w:tc>
          <w:tcPr>
            <w:tcW w:w="1395" w:type="dxa"/>
            <w:vAlign w:val="bottom"/>
          </w:tcPr>
          <w:p w14:paraId="124B265B" w14:textId="316721F0" w:rsidR="001A6B46" w:rsidRDefault="001A6B46" w:rsidP="001A6B46">
            <w:pPr>
              <w:jc w:val="center"/>
              <w:rPr>
                <w:sz w:val="24"/>
                <w:szCs w:val="24"/>
              </w:rPr>
            </w:pPr>
            <w:r>
              <w:rPr>
                <w:rFonts w:ascii="Calibri" w:hAnsi="Calibri" w:cs="Calibri"/>
                <w:color w:val="000000"/>
              </w:rPr>
              <w:t>1%</w:t>
            </w:r>
          </w:p>
        </w:tc>
      </w:tr>
      <w:tr w:rsidR="001A6B46" w14:paraId="7901EEF1" w14:textId="77777777" w:rsidTr="00B45BB4">
        <w:tc>
          <w:tcPr>
            <w:tcW w:w="3119" w:type="dxa"/>
            <w:vAlign w:val="bottom"/>
          </w:tcPr>
          <w:p w14:paraId="45F1FD4A" w14:textId="6B27E405" w:rsidR="001A6B46" w:rsidRDefault="001A6B46" w:rsidP="004C683A">
            <w:pPr>
              <w:rPr>
                <w:sz w:val="24"/>
                <w:szCs w:val="24"/>
              </w:rPr>
            </w:pPr>
            <w:r>
              <w:rPr>
                <w:rFonts w:ascii="Calibri" w:hAnsi="Calibri" w:cs="Calibri"/>
                <w:color w:val="000000"/>
              </w:rPr>
              <w:t>Electricity</w:t>
            </w:r>
          </w:p>
        </w:tc>
        <w:tc>
          <w:tcPr>
            <w:tcW w:w="1394" w:type="dxa"/>
            <w:vAlign w:val="bottom"/>
          </w:tcPr>
          <w:p w14:paraId="6F8EEB08" w14:textId="5C8DD4B2" w:rsidR="001A6B46" w:rsidRDefault="001A6B46" w:rsidP="001A6B46">
            <w:pPr>
              <w:jc w:val="center"/>
              <w:rPr>
                <w:sz w:val="24"/>
                <w:szCs w:val="24"/>
              </w:rPr>
            </w:pPr>
            <w:r>
              <w:rPr>
                <w:rFonts w:ascii="Calibri" w:hAnsi="Calibri" w:cs="Calibri"/>
                <w:color w:val="000000"/>
              </w:rPr>
              <w:t>4%</w:t>
            </w:r>
          </w:p>
        </w:tc>
        <w:tc>
          <w:tcPr>
            <w:tcW w:w="1395" w:type="dxa"/>
            <w:vAlign w:val="bottom"/>
          </w:tcPr>
          <w:p w14:paraId="58DB7902" w14:textId="48259657" w:rsidR="001A6B46" w:rsidRDefault="001A6B46" w:rsidP="001A6B46">
            <w:pPr>
              <w:jc w:val="center"/>
              <w:rPr>
                <w:sz w:val="24"/>
                <w:szCs w:val="24"/>
              </w:rPr>
            </w:pPr>
            <w:r>
              <w:rPr>
                <w:rFonts w:ascii="Calibri" w:hAnsi="Calibri" w:cs="Calibri"/>
                <w:color w:val="000000"/>
              </w:rPr>
              <w:t>5%</w:t>
            </w:r>
          </w:p>
        </w:tc>
        <w:tc>
          <w:tcPr>
            <w:tcW w:w="1395" w:type="dxa"/>
            <w:vAlign w:val="bottom"/>
          </w:tcPr>
          <w:p w14:paraId="76BE192A" w14:textId="6505741A" w:rsidR="001A6B46" w:rsidRDefault="001A6B46" w:rsidP="001A6B46">
            <w:pPr>
              <w:jc w:val="center"/>
              <w:rPr>
                <w:sz w:val="24"/>
                <w:szCs w:val="24"/>
              </w:rPr>
            </w:pPr>
            <w:r>
              <w:rPr>
                <w:rFonts w:ascii="Calibri" w:hAnsi="Calibri" w:cs="Calibri"/>
                <w:color w:val="000000"/>
              </w:rPr>
              <w:t>4%</w:t>
            </w:r>
          </w:p>
        </w:tc>
        <w:tc>
          <w:tcPr>
            <w:tcW w:w="1395" w:type="dxa"/>
            <w:vAlign w:val="bottom"/>
          </w:tcPr>
          <w:p w14:paraId="75D85F7C" w14:textId="1D43E3E3" w:rsidR="001A6B46" w:rsidRDefault="001A6B46" w:rsidP="001A6B46">
            <w:pPr>
              <w:jc w:val="center"/>
              <w:rPr>
                <w:sz w:val="24"/>
                <w:szCs w:val="24"/>
              </w:rPr>
            </w:pPr>
            <w:r>
              <w:rPr>
                <w:rFonts w:ascii="Calibri" w:hAnsi="Calibri" w:cs="Calibri"/>
                <w:color w:val="000000"/>
              </w:rPr>
              <w:t>5%</w:t>
            </w:r>
          </w:p>
        </w:tc>
        <w:tc>
          <w:tcPr>
            <w:tcW w:w="1395" w:type="dxa"/>
            <w:vAlign w:val="bottom"/>
          </w:tcPr>
          <w:p w14:paraId="08D40260" w14:textId="508A3828" w:rsidR="001A6B46" w:rsidRDefault="001A6B46" w:rsidP="001A6B46">
            <w:pPr>
              <w:jc w:val="center"/>
              <w:rPr>
                <w:sz w:val="24"/>
                <w:szCs w:val="24"/>
              </w:rPr>
            </w:pPr>
            <w:r>
              <w:rPr>
                <w:rFonts w:ascii="Calibri" w:hAnsi="Calibri" w:cs="Calibri"/>
                <w:color w:val="000000"/>
              </w:rPr>
              <w:t>5%</w:t>
            </w:r>
          </w:p>
        </w:tc>
        <w:tc>
          <w:tcPr>
            <w:tcW w:w="1395" w:type="dxa"/>
            <w:vAlign w:val="bottom"/>
          </w:tcPr>
          <w:p w14:paraId="486BC6C2" w14:textId="61993550" w:rsidR="001A6B46" w:rsidRDefault="001A6B46" w:rsidP="001A6B46">
            <w:pPr>
              <w:jc w:val="center"/>
              <w:rPr>
                <w:sz w:val="24"/>
                <w:szCs w:val="24"/>
              </w:rPr>
            </w:pPr>
            <w:r>
              <w:rPr>
                <w:rFonts w:ascii="Calibri" w:hAnsi="Calibri" w:cs="Calibri"/>
                <w:color w:val="000000"/>
              </w:rPr>
              <w:t>6%</w:t>
            </w:r>
          </w:p>
        </w:tc>
        <w:tc>
          <w:tcPr>
            <w:tcW w:w="1395" w:type="dxa"/>
            <w:vAlign w:val="bottom"/>
          </w:tcPr>
          <w:p w14:paraId="69B4EEEB" w14:textId="4D9F35A6" w:rsidR="001A6B46" w:rsidRDefault="001A6B46" w:rsidP="001A6B46">
            <w:pPr>
              <w:jc w:val="center"/>
              <w:rPr>
                <w:sz w:val="24"/>
                <w:szCs w:val="24"/>
              </w:rPr>
            </w:pPr>
            <w:r>
              <w:rPr>
                <w:rFonts w:ascii="Calibri" w:hAnsi="Calibri" w:cs="Calibri"/>
                <w:color w:val="000000"/>
              </w:rPr>
              <w:t>7%</w:t>
            </w:r>
          </w:p>
        </w:tc>
        <w:tc>
          <w:tcPr>
            <w:tcW w:w="1395" w:type="dxa"/>
            <w:vAlign w:val="bottom"/>
          </w:tcPr>
          <w:p w14:paraId="5D3EA388" w14:textId="6FD9F73F" w:rsidR="001A6B46" w:rsidRDefault="001A6B46" w:rsidP="001A6B46">
            <w:pPr>
              <w:jc w:val="center"/>
              <w:rPr>
                <w:sz w:val="24"/>
                <w:szCs w:val="24"/>
              </w:rPr>
            </w:pPr>
            <w:r>
              <w:rPr>
                <w:rFonts w:ascii="Calibri" w:hAnsi="Calibri" w:cs="Calibri"/>
                <w:color w:val="000000"/>
              </w:rPr>
              <w:t>5%</w:t>
            </w:r>
          </w:p>
        </w:tc>
      </w:tr>
      <w:tr w:rsidR="001A6B46" w14:paraId="1D9FDE1A" w14:textId="77777777" w:rsidTr="00B45BB4">
        <w:tc>
          <w:tcPr>
            <w:tcW w:w="3119" w:type="dxa"/>
            <w:vAlign w:val="bottom"/>
          </w:tcPr>
          <w:p w14:paraId="5A387C4D" w14:textId="7463876E" w:rsidR="001A6B46" w:rsidRDefault="001A6B46" w:rsidP="004C683A">
            <w:pPr>
              <w:rPr>
                <w:sz w:val="24"/>
                <w:szCs w:val="24"/>
              </w:rPr>
            </w:pPr>
            <w:r>
              <w:rPr>
                <w:rFonts w:ascii="Calibri" w:hAnsi="Calibri" w:cs="Calibri"/>
                <w:color w:val="000000"/>
              </w:rPr>
              <w:t xml:space="preserve">Fuel </w:t>
            </w:r>
          </w:p>
        </w:tc>
        <w:tc>
          <w:tcPr>
            <w:tcW w:w="1394" w:type="dxa"/>
            <w:vAlign w:val="bottom"/>
          </w:tcPr>
          <w:p w14:paraId="44056D6A" w14:textId="17EF12D7" w:rsidR="001A6B46" w:rsidRDefault="001A6B46" w:rsidP="001A6B46">
            <w:pPr>
              <w:jc w:val="center"/>
              <w:rPr>
                <w:sz w:val="24"/>
                <w:szCs w:val="24"/>
              </w:rPr>
            </w:pPr>
            <w:r>
              <w:rPr>
                <w:rFonts w:ascii="Calibri" w:hAnsi="Calibri" w:cs="Calibri"/>
                <w:color w:val="000000"/>
              </w:rPr>
              <w:t>2%</w:t>
            </w:r>
          </w:p>
        </w:tc>
        <w:tc>
          <w:tcPr>
            <w:tcW w:w="1395" w:type="dxa"/>
            <w:vAlign w:val="bottom"/>
          </w:tcPr>
          <w:p w14:paraId="1F435460" w14:textId="49B28BC2" w:rsidR="001A6B46" w:rsidRDefault="001A6B46" w:rsidP="001A6B46">
            <w:pPr>
              <w:jc w:val="center"/>
              <w:rPr>
                <w:sz w:val="24"/>
                <w:szCs w:val="24"/>
              </w:rPr>
            </w:pPr>
            <w:r>
              <w:rPr>
                <w:rFonts w:ascii="Calibri" w:hAnsi="Calibri" w:cs="Calibri"/>
                <w:color w:val="000000"/>
              </w:rPr>
              <w:t>2%</w:t>
            </w:r>
          </w:p>
        </w:tc>
        <w:tc>
          <w:tcPr>
            <w:tcW w:w="1395" w:type="dxa"/>
            <w:vAlign w:val="bottom"/>
          </w:tcPr>
          <w:p w14:paraId="7508AAAF" w14:textId="61A88085" w:rsidR="001A6B46" w:rsidRDefault="001A6B46" w:rsidP="001A6B46">
            <w:pPr>
              <w:jc w:val="center"/>
              <w:rPr>
                <w:sz w:val="24"/>
                <w:szCs w:val="24"/>
              </w:rPr>
            </w:pPr>
            <w:r>
              <w:rPr>
                <w:rFonts w:ascii="Calibri" w:hAnsi="Calibri" w:cs="Calibri"/>
                <w:color w:val="000000"/>
              </w:rPr>
              <w:t>1%</w:t>
            </w:r>
          </w:p>
        </w:tc>
        <w:tc>
          <w:tcPr>
            <w:tcW w:w="1395" w:type="dxa"/>
            <w:vAlign w:val="bottom"/>
          </w:tcPr>
          <w:p w14:paraId="6888E42C" w14:textId="18574F80" w:rsidR="001A6B46" w:rsidRDefault="001A6B46" w:rsidP="001A6B46">
            <w:pPr>
              <w:jc w:val="center"/>
              <w:rPr>
                <w:sz w:val="24"/>
                <w:szCs w:val="24"/>
              </w:rPr>
            </w:pPr>
            <w:r>
              <w:rPr>
                <w:rFonts w:ascii="Calibri" w:hAnsi="Calibri" w:cs="Calibri"/>
                <w:color w:val="000000"/>
              </w:rPr>
              <w:t>2%</w:t>
            </w:r>
          </w:p>
        </w:tc>
        <w:tc>
          <w:tcPr>
            <w:tcW w:w="1395" w:type="dxa"/>
            <w:vAlign w:val="bottom"/>
          </w:tcPr>
          <w:p w14:paraId="66A65BB3" w14:textId="6891AB87" w:rsidR="001A6B46" w:rsidRDefault="001A6B46" w:rsidP="001A6B46">
            <w:pPr>
              <w:jc w:val="center"/>
              <w:rPr>
                <w:sz w:val="24"/>
                <w:szCs w:val="24"/>
              </w:rPr>
            </w:pPr>
            <w:r>
              <w:rPr>
                <w:rFonts w:ascii="Calibri" w:hAnsi="Calibri" w:cs="Calibri"/>
                <w:color w:val="000000"/>
              </w:rPr>
              <w:t>2%</w:t>
            </w:r>
          </w:p>
        </w:tc>
        <w:tc>
          <w:tcPr>
            <w:tcW w:w="1395" w:type="dxa"/>
            <w:vAlign w:val="bottom"/>
          </w:tcPr>
          <w:p w14:paraId="1718DB90" w14:textId="376E4591" w:rsidR="001A6B46" w:rsidRDefault="001A6B46" w:rsidP="001A6B46">
            <w:pPr>
              <w:jc w:val="center"/>
              <w:rPr>
                <w:sz w:val="24"/>
                <w:szCs w:val="24"/>
              </w:rPr>
            </w:pPr>
            <w:r>
              <w:rPr>
                <w:rFonts w:ascii="Calibri" w:hAnsi="Calibri" w:cs="Calibri"/>
                <w:color w:val="000000"/>
              </w:rPr>
              <w:t>2%</w:t>
            </w:r>
          </w:p>
        </w:tc>
        <w:tc>
          <w:tcPr>
            <w:tcW w:w="1395" w:type="dxa"/>
            <w:vAlign w:val="bottom"/>
          </w:tcPr>
          <w:p w14:paraId="2FABEE9E" w14:textId="1C6F9841" w:rsidR="001A6B46" w:rsidRDefault="001A6B46" w:rsidP="001A6B46">
            <w:pPr>
              <w:jc w:val="center"/>
              <w:rPr>
                <w:sz w:val="24"/>
                <w:szCs w:val="24"/>
              </w:rPr>
            </w:pPr>
            <w:r>
              <w:rPr>
                <w:rFonts w:ascii="Calibri" w:hAnsi="Calibri" w:cs="Calibri"/>
                <w:color w:val="000000"/>
              </w:rPr>
              <w:t>2%</w:t>
            </w:r>
          </w:p>
        </w:tc>
        <w:tc>
          <w:tcPr>
            <w:tcW w:w="1395" w:type="dxa"/>
            <w:vAlign w:val="bottom"/>
          </w:tcPr>
          <w:p w14:paraId="71EDEBED" w14:textId="0030C185" w:rsidR="001A6B46" w:rsidRDefault="001A6B46" w:rsidP="001A6B46">
            <w:pPr>
              <w:jc w:val="center"/>
              <w:rPr>
                <w:sz w:val="24"/>
                <w:szCs w:val="24"/>
              </w:rPr>
            </w:pPr>
            <w:r>
              <w:rPr>
                <w:rFonts w:ascii="Calibri" w:hAnsi="Calibri" w:cs="Calibri"/>
                <w:color w:val="000000"/>
              </w:rPr>
              <w:t>2%</w:t>
            </w:r>
          </w:p>
        </w:tc>
      </w:tr>
      <w:tr w:rsidR="001A6B46" w14:paraId="02B170A3" w14:textId="77777777" w:rsidTr="00B45BB4">
        <w:tc>
          <w:tcPr>
            <w:tcW w:w="3119" w:type="dxa"/>
            <w:vAlign w:val="bottom"/>
          </w:tcPr>
          <w:p w14:paraId="191856D3" w14:textId="294F6B4B" w:rsidR="001A6B46" w:rsidRDefault="001A6B46" w:rsidP="004C683A">
            <w:pPr>
              <w:rPr>
                <w:sz w:val="24"/>
                <w:szCs w:val="24"/>
              </w:rPr>
            </w:pPr>
            <w:r>
              <w:rPr>
                <w:rFonts w:ascii="Calibri" w:hAnsi="Calibri" w:cs="Calibri"/>
                <w:color w:val="000000"/>
              </w:rPr>
              <w:t>Urea &amp; Lime</w:t>
            </w:r>
          </w:p>
        </w:tc>
        <w:tc>
          <w:tcPr>
            <w:tcW w:w="1394" w:type="dxa"/>
            <w:vAlign w:val="bottom"/>
          </w:tcPr>
          <w:p w14:paraId="55C7AC26" w14:textId="697CBEDD" w:rsidR="001A6B46" w:rsidRDefault="001A6B46" w:rsidP="001A6B46">
            <w:pPr>
              <w:jc w:val="center"/>
              <w:rPr>
                <w:sz w:val="24"/>
                <w:szCs w:val="24"/>
              </w:rPr>
            </w:pPr>
            <w:r>
              <w:rPr>
                <w:rFonts w:ascii="Calibri" w:hAnsi="Calibri" w:cs="Calibri"/>
                <w:color w:val="000000"/>
              </w:rPr>
              <w:t>2%</w:t>
            </w:r>
          </w:p>
        </w:tc>
        <w:tc>
          <w:tcPr>
            <w:tcW w:w="1395" w:type="dxa"/>
            <w:vAlign w:val="bottom"/>
          </w:tcPr>
          <w:p w14:paraId="6824234A" w14:textId="71B3234A" w:rsidR="001A6B46" w:rsidRDefault="001A6B46" w:rsidP="001A6B46">
            <w:pPr>
              <w:jc w:val="center"/>
              <w:rPr>
                <w:sz w:val="24"/>
                <w:szCs w:val="24"/>
              </w:rPr>
            </w:pPr>
            <w:r>
              <w:rPr>
                <w:rFonts w:ascii="Calibri" w:hAnsi="Calibri" w:cs="Calibri"/>
                <w:color w:val="000000"/>
              </w:rPr>
              <w:t>2%</w:t>
            </w:r>
          </w:p>
        </w:tc>
        <w:tc>
          <w:tcPr>
            <w:tcW w:w="1395" w:type="dxa"/>
            <w:vAlign w:val="bottom"/>
          </w:tcPr>
          <w:p w14:paraId="4D6AC6E4" w14:textId="005DB18B" w:rsidR="001A6B46" w:rsidRDefault="001A6B46" w:rsidP="001A6B46">
            <w:pPr>
              <w:jc w:val="center"/>
              <w:rPr>
                <w:sz w:val="24"/>
                <w:szCs w:val="24"/>
              </w:rPr>
            </w:pPr>
            <w:r>
              <w:rPr>
                <w:rFonts w:ascii="Calibri" w:hAnsi="Calibri" w:cs="Calibri"/>
                <w:color w:val="000000"/>
              </w:rPr>
              <w:t>2%</w:t>
            </w:r>
          </w:p>
        </w:tc>
        <w:tc>
          <w:tcPr>
            <w:tcW w:w="1395" w:type="dxa"/>
            <w:vAlign w:val="bottom"/>
          </w:tcPr>
          <w:p w14:paraId="145D0015" w14:textId="2570C517" w:rsidR="001A6B46" w:rsidRDefault="001A6B46" w:rsidP="001A6B46">
            <w:pPr>
              <w:jc w:val="center"/>
              <w:rPr>
                <w:sz w:val="24"/>
                <w:szCs w:val="24"/>
              </w:rPr>
            </w:pPr>
            <w:r>
              <w:rPr>
                <w:rFonts w:ascii="Calibri" w:hAnsi="Calibri" w:cs="Calibri"/>
                <w:color w:val="000000"/>
              </w:rPr>
              <w:t>1%</w:t>
            </w:r>
          </w:p>
        </w:tc>
        <w:tc>
          <w:tcPr>
            <w:tcW w:w="1395" w:type="dxa"/>
            <w:vAlign w:val="bottom"/>
          </w:tcPr>
          <w:p w14:paraId="4ED8E4A5" w14:textId="7245C18B" w:rsidR="001A6B46" w:rsidRDefault="001A6B46" w:rsidP="001A6B46">
            <w:pPr>
              <w:jc w:val="center"/>
              <w:rPr>
                <w:sz w:val="24"/>
                <w:szCs w:val="24"/>
              </w:rPr>
            </w:pPr>
            <w:r>
              <w:rPr>
                <w:rFonts w:ascii="Calibri" w:hAnsi="Calibri" w:cs="Calibri"/>
                <w:color w:val="000000"/>
              </w:rPr>
              <w:t>2%</w:t>
            </w:r>
          </w:p>
        </w:tc>
        <w:tc>
          <w:tcPr>
            <w:tcW w:w="1395" w:type="dxa"/>
            <w:vAlign w:val="bottom"/>
          </w:tcPr>
          <w:p w14:paraId="71C85E90" w14:textId="791EF6F1" w:rsidR="001A6B46" w:rsidRDefault="001A6B46" w:rsidP="001A6B46">
            <w:pPr>
              <w:jc w:val="center"/>
              <w:rPr>
                <w:sz w:val="24"/>
                <w:szCs w:val="24"/>
              </w:rPr>
            </w:pPr>
            <w:r>
              <w:rPr>
                <w:rFonts w:ascii="Calibri" w:hAnsi="Calibri" w:cs="Calibri"/>
                <w:color w:val="000000"/>
              </w:rPr>
              <w:t>2%</w:t>
            </w:r>
          </w:p>
        </w:tc>
        <w:tc>
          <w:tcPr>
            <w:tcW w:w="1395" w:type="dxa"/>
            <w:vAlign w:val="bottom"/>
          </w:tcPr>
          <w:p w14:paraId="2EE0A53D" w14:textId="33F468B9" w:rsidR="001A6B46" w:rsidRDefault="001A6B46" w:rsidP="001A6B46">
            <w:pPr>
              <w:jc w:val="center"/>
              <w:rPr>
                <w:sz w:val="24"/>
                <w:szCs w:val="24"/>
              </w:rPr>
            </w:pPr>
            <w:r>
              <w:rPr>
                <w:rFonts w:ascii="Calibri" w:hAnsi="Calibri" w:cs="Calibri"/>
                <w:color w:val="000000"/>
              </w:rPr>
              <w:t>2%</w:t>
            </w:r>
          </w:p>
        </w:tc>
        <w:tc>
          <w:tcPr>
            <w:tcW w:w="1395" w:type="dxa"/>
            <w:vAlign w:val="bottom"/>
          </w:tcPr>
          <w:p w14:paraId="7B2FD06D" w14:textId="42624DB6" w:rsidR="001A6B46" w:rsidRDefault="001A6B46" w:rsidP="001A6B46">
            <w:pPr>
              <w:jc w:val="center"/>
              <w:rPr>
                <w:sz w:val="24"/>
                <w:szCs w:val="24"/>
              </w:rPr>
            </w:pPr>
            <w:r>
              <w:rPr>
                <w:rFonts w:ascii="Calibri" w:hAnsi="Calibri" w:cs="Calibri"/>
                <w:color w:val="000000"/>
              </w:rPr>
              <w:t>1%</w:t>
            </w:r>
          </w:p>
        </w:tc>
      </w:tr>
      <w:tr w:rsidR="001A6B46" w14:paraId="74BD488F" w14:textId="77777777" w:rsidTr="00B45BB4">
        <w:tc>
          <w:tcPr>
            <w:tcW w:w="3119" w:type="dxa"/>
            <w:vAlign w:val="bottom"/>
          </w:tcPr>
          <w:p w14:paraId="6C3AD3AF" w14:textId="59FD15F3" w:rsidR="001A6B46" w:rsidRDefault="001A6B46" w:rsidP="004C683A">
            <w:pPr>
              <w:rPr>
                <w:sz w:val="24"/>
                <w:szCs w:val="24"/>
              </w:rPr>
            </w:pPr>
            <w:r>
              <w:rPr>
                <w:rFonts w:ascii="Calibri" w:hAnsi="Calibri" w:cs="Calibri"/>
                <w:color w:val="000000"/>
              </w:rPr>
              <w:t>Conc</w:t>
            </w:r>
            <w:r w:rsidR="000320C5">
              <w:rPr>
                <w:rFonts w:ascii="Calibri" w:hAnsi="Calibri" w:cs="Calibri"/>
                <w:color w:val="000000"/>
              </w:rPr>
              <w:t>entrates</w:t>
            </w:r>
          </w:p>
        </w:tc>
        <w:tc>
          <w:tcPr>
            <w:tcW w:w="1394" w:type="dxa"/>
            <w:vAlign w:val="bottom"/>
          </w:tcPr>
          <w:p w14:paraId="27D7E2CE" w14:textId="504C040D" w:rsidR="001A6B46" w:rsidRDefault="001A6B46" w:rsidP="001A6B46">
            <w:pPr>
              <w:jc w:val="center"/>
              <w:rPr>
                <w:sz w:val="24"/>
                <w:szCs w:val="24"/>
              </w:rPr>
            </w:pPr>
            <w:r>
              <w:rPr>
                <w:rFonts w:ascii="Calibri" w:hAnsi="Calibri" w:cs="Calibri"/>
                <w:color w:val="000000"/>
              </w:rPr>
              <w:t>5%</w:t>
            </w:r>
          </w:p>
        </w:tc>
        <w:tc>
          <w:tcPr>
            <w:tcW w:w="1395" w:type="dxa"/>
            <w:vAlign w:val="bottom"/>
          </w:tcPr>
          <w:p w14:paraId="2024B78E" w14:textId="0F4444C3" w:rsidR="001A6B46" w:rsidRDefault="001A6B46" w:rsidP="001A6B46">
            <w:pPr>
              <w:jc w:val="center"/>
              <w:rPr>
                <w:sz w:val="24"/>
                <w:szCs w:val="24"/>
              </w:rPr>
            </w:pPr>
            <w:r>
              <w:rPr>
                <w:rFonts w:ascii="Calibri" w:hAnsi="Calibri" w:cs="Calibri"/>
                <w:color w:val="000000"/>
              </w:rPr>
              <w:t>5%</w:t>
            </w:r>
          </w:p>
        </w:tc>
        <w:tc>
          <w:tcPr>
            <w:tcW w:w="1395" w:type="dxa"/>
            <w:vAlign w:val="bottom"/>
          </w:tcPr>
          <w:p w14:paraId="3BA27756" w14:textId="490E9EBE" w:rsidR="001A6B46" w:rsidRDefault="001A6B46" w:rsidP="001A6B46">
            <w:pPr>
              <w:jc w:val="center"/>
              <w:rPr>
                <w:sz w:val="24"/>
                <w:szCs w:val="24"/>
              </w:rPr>
            </w:pPr>
            <w:r>
              <w:rPr>
                <w:rFonts w:ascii="Calibri" w:hAnsi="Calibri" w:cs="Calibri"/>
                <w:color w:val="000000"/>
              </w:rPr>
              <w:t>5%</w:t>
            </w:r>
          </w:p>
        </w:tc>
        <w:tc>
          <w:tcPr>
            <w:tcW w:w="1395" w:type="dxa"/>
            <w:vAlign w:val="bottom"/>
          </w:tcPr>
          <w:p w14:paraId="62C8F349" w14:textId="50ECB7D0" w:rsidR="001A6B46" w:rsidRDefault="001A6B46" w:rsidP="001A6B46">
            <w:pPr>
              <w:jc w:val="center"/>
              <w:rPr>
                <w:sz w:val="24"/>
                <w:szCs w:val="24"/>
              </w:rPr>
            </w:pPr>
            <w:r>
              <w:rPr>
                <w:rFonts w:ascii="Calibri" w:hAnsi="Calibri" w:cs="Calibri"/>
                <w:color w:val="000000"/>
              </w:rPr>
              <w:t>5%</w:t>
            </w:r>
          </w:p>
        </w:tc>
        <w:tc>
          <w:tcPr>
            <w:tcW w:w="1395" w:type="dxa"/>
            <w:vAlign w:val="bottom"/>
          </w:tcPr>
          <w:p w14:paraId="522A1794" w14:textId="245489C5" w:rsidR="001A6B46" w:rsidRDefault="001A6B46" w:rsidP="001A6B46">
            <w:pPr>
              <w:jc w:val="center"/>
              <w:rPr>
                <w:sz w:val="24"/>
                <w:szCs w:val="24"/>
              </w:rPr>
            </w:pPr>
            <w:r>
              <w:rPr>
                <w:rFonts w:ascii="Calibri" w:hAnsi="Calibri" w:cs="Calibri"/>
                <w:color w:val="000000"/>
              </w:rPr>
              <w:t>5%</w:t>
            </w:r>
          </w:p>
        </w:tc>
        <w:tc>
          <w:tcPr>
            <w:tcW w:w="1395" w:type="dxa"/>
            <w:vAlign w:val="bottom"/>
          </w:tcPr>
          <w:p w14:paraId="33D75D5C" w14:textId="5A3610EC" w:rsidR="001A6B46" w:rsidRDefault="001A6B46" w:rsidP="001A6B46">
            <w:pPr>
              <w:jc w:val="center"/>
              <w:rPr>
                <w:sz w:val="24"/>
                <w:szCs w:val="24"/>
              </w:rPr>
            </w:pPr>
            <w:r>
              <w:rPr>
                <w:rFonts w:ascii="Calibri" w:hAnsi="Calibri" w:cs="Calibri"/>
                <w:color w:val="000000"/>
              </w:rPr>
              <w:t>5%</w:t>
            </w:r>
          </w:p>
        </w:tc>
        <w:tc>
          <w:tcPr>
            <w:tcW w:w="1395" w:type="dxa"/>
            <w:vAlign w:val="bottom"/>
          </w:tcPr>
          <w:p w14:paraId="68256F08" w14:textId="67341D13" w:rsidR="001A6B46" w:rsidRDefault="001A6B46" w:rsidP="001A6B46">
            <w:pPr>
              <w:jc w:val="center"/>
              <w:rPr>
                <w:sz w:val="24"/>
                <w:szCs w:val="24"/>
              </w:rPr>
            </w:pPr>
            <w:r>
              <w:rPr>
                <w:rFonts w:ascii="Calibri" w:hAnsi="Calibri" w:cs="Calibri"/>
                <w:color w:val="000000"/>
              </w:rPr>
              <w:t>5%</w:t>
            </w:r>
          </w:p>
        </w:tc>
        <w:tc>
          <w:tcPr>
            <w:tcW w:w="1395" w:type="dxa"/>
            <w:vAlign w:val="bottom"/>
          </w:tcPr>
          <w:p w14:paraId="7F217339" w14:textId="554C5EF5" w:rsidR="001A6B46" w:rsidRDefault="001A6B46" w:rsidP="001A6B46">
            <w:pPr>
              <w:jc w:val="center"/>
              <w:rPr>
                <w:sz w:val="24"/>
                <w:szCs w:val="24"/>
              </w:rPr>
            </w:pPr>
            <w:r>
              <w:rPr>
                <w:rFonts w:ascii="Calibri" w:hAnsi="Calibri" w:cs="Calibri"/>
                <w:color w:val="000000"/>
              </w:rPr>
              <w:t>6%</w:t>
            </w:r>
          </w:p>
        </w:tc>
      </w:tr>
      <w:tr w:rsidR="001A6B46" w14:paraId="7F463885" w14:textId="77777777" w:rsidTr="00B45BB4">
        <w:tc>
          <w:tcPr>
            <w:tcW w:w="3119" w:type="dxa"/>
            <w:vAlign w:val="bottom"/>
          </w:tcPr>
          <w:p w14:paraId="1C9586CB" w14:textId="6816AF64" w:rsidR="001A6B46" w:rsidRDefault="001A6B46" w:rsidP="004C683A">
            <w:pPr>
              <w:rPr>
                <w:sz w:val="24"/>
                <w:szCs w:val="24"/>
              </w:rPr>
            </w:pPr>
            <w:r>
              <w:rPr>
                <w:rFonts w:ascii="Calibri" w:hAnsi="Calibri" w:cs="Calibri"/>
                <w:color w:val="000000"/>
              </w:rPr>
              <w:t>Fodder</w:t>
            </w:r>
          </w:p>
        </w:tc>
        <w:tc>
          <w:tcPr>
            <w:tcW w:w="1394" w:type="dxa"/>
            <w:vAlign w:val="bottom"/>
          </w:tcPr>
          <w:p w14:paraId="2F60E281" w14:textId="6DE3BCE9" w:rsidR="001A6B46" w:rsidRDefault="001A6B46" w:rsidP="001A6B46">
            <w:pPr>
              <w:jc w:val="center"/>
              <w:rPr>
                <w:sz w:val="24"/>
                <w:szCs w:val="24"/>
              </w:rPr>
            </w:pPr>
            <w:r>
              <w:rPr>
                <w:rFonts w:ascii="Calibri" w:hAnsi="Calibri" w:cs="Calibri"/>
                <w:color w:val="000000"/>
              </w:rPr>
              <w:t>1%</w:t>
            </w:r>
          </w:p>
        </w:tc>
        <w:tc>
          <w:tcPr>
            <w:tcW w:w="1395" w:type="dxa"/>
            <w:vAlign w:val="bottom"/>
          </w:tcPr>
          <w:p w14:paraId="32DE30A7" w14:textId="54D323AA" w:rsidR="001A6B46" w:rsidRDefault="001A6B46" w:rsidP="001A6B46">
            <w:pPr>
              <w:jc w:val="center"/>
              <w:rPr>
                <w:sz w:val="24"/>
                <w:szCs w:val="24"/>
              </w:rPr>
            </w:pPr>
            <w:r>
              <w:rPr>
                <w:rFonts w:ascii="Calibri" w:hAnsi="Calibri" w:cs="Calibri"/>
                <w:color w:val="000000"/>
              </w:rPr>
              <w:t>1%</w:t>
            </w:r>
          </w:p>
        </w:tc>
        <w:tc>
          <w:tcPr>
            <w:tcW w:w="1395" w:type="dxa"/>
            <w:vAlign w:val="bottom"/>
          </w:tcPr>
          <w:p w14:paraId="10FD3C94" w14:textId="430C15B0" w:rsidR="001A6B46" w:rsidRDefault="001A6B46" w:rsidP="001A6B46">
            <w:pPr>
              <w:jc w:val="center"/>
              <w:rPr>
                <w:sz w:val="24"/>
                <w:szCs w:val="24"/>
              </w:rPr>
            </w:pPr>
            <w:r>
              <w:rPr>
                <w:rFonts w:ascii="Calibri" w:hAnsi="Calibri" w:cs="Calibri"/>
                <w:color w:val="000000"/>
              </w:rPr>
              <w:t>1%</w:t>
            </w:r>
          </w:p>
        </w:tc>
        <w:tc>
          <w:tcPr>
            <w:tcW w:w="1395" w:type="dxa"/>
            <w:vAlign w:val="bottom"/>
          </w:tcPr>
          <w:p w14:paraId="5E09BF4C" w14:textId="41A8CE1D" w:rsidR="001A6B46" w:rsidRDefault="001A6B46" w:rsidP="001A6B46">
            <w:pPr>
              <w:jc w:val="center"/>
              <w:rPr>
                <w:sz w:val="24"/>
                <w:szCs w:val="24"/>
              </w:rPr>
            </w:pPr>
            <w:r>
              <w:rPr>
                <w:rFonts w:ascii="Calibri" w:hAnsi="Calibri" w:cs="Calibri"/>
                <w:color w:val="000000"/>
              </w:rPr>
              <w:t>3%</w:t>
            </w:r>
          </w:p>
        </w:tc>
        <w:tc>
          <w:tcPr>
            <w:tcW w:w="1395" w:type="dxa"/>
            <w:vAlign w:val="bottom"/>
          </w:tcPr>
          <w:p w14:paraId="36FCB607" w14:textId="03F80BD3" w:rsidR="001A6B46" w:rsidRDefault="001A6B46" w:rsidP="001A6B46">
            <w:pPr>
              <w:jc w:val="center"/>
              <w:rPr>
                <w:sz w:val="24"/>
                <w:szCs w:val="24"/>
              </w:rPr>
            </w:pPr>
            <w:r>
              <w:rPr>
                <w:rFonts w:ascii="Calibri" w:hAnsi="Calibri" w:cs="Calibri"/>
                <w:color w:val="000000"/>
              </w:rPr>
              <w:t>1%</w:t>
            </w:r>
          </w:p>
        </w:tc>
        <w:tc>
          <w:tcPr>
            <w:tcW w:w="1395" w:type="dxa"/>
            <w:vAlign w:val="bottom"/>
          </w:tcPr>
          <w:p w14:paraId="17E00835" w14:textId="5DEA5699" w:rsidR="001A6B46" w:rsidRDefault="001A6B46" w:rsidP="001A6B46">
            <w:pPr>
              <w:jc w:val="center"/>
              <w:rPr>
                <w:sz w:val="24"/>
                <w:szCs w:val="24"/>
              </w:rPr>
            </w:pPr>
            <w:r>
              <w:rPr>
                <w:rFonts w:ascii="Calibri" w:hAnsi="Calibri" w:cs="Calibri"/>
                <w:color w:val="000000"/>
              </w:rPr>
              <w:t>1%</w:t>
            </w:r>
          </w:p>
        </w:tc>
        <w:tc>
          <w:tcPr>
            <w:tcW w:w="1395" w:type="dxa"/>
            <w:vAlign w:val="bottom"/>
          </w:tcPr>
          <w:p w14:paraId="08A78EAE" w14:textId="02090739" w:rsidR="001A6B46" w:rsidRDefault="001A6B46" w:rsidP="001A6B46">
            <w:pPr>
              <w:jc w:val="center"/>
              <w:rPr>
                <w:sz w:val="24"/>
                <w:szCs w:val="24"/>
              </w:rPr>
            </w:pPr>
            <w:r>
              <w:rPr>
                <w:rFonts w:ascii="Calibri" w:hAnsi="Calibri" w:cs="Calibri"/>
                <w:color w:val="000000"/>
              </w:rPr>
              <w:t>1%</w:t>
            </w:r>
          </w:p>
        </w:tc>
        <w:tc>
          <w:tcPr>
            <w:tcW w:w="1395" w:type="dxa"/>
            <w:vAlign w:val="bottom"/>
          </w:tcPr>
          <w:p w14:paraId="1F19703F" w14:textId="2F66CECE" w:rsidR="001A6B46" w:rsidRDefault="001A6B46" w:rsidP="001A6B46">
            <w:pPr>
              <w:jc w:val="center"/>
              <w:rPr>
                <w:sz w:val="24"/>
                <w:szCs w:val="24"/>
              </w:rPr>
            </w:pPr>
            <w:r>
              <w:rPr>
                <w:rFonts w:ascii="Calibri" w:hAnsi="Calibri" w:cs="Calibri"/>
                <w:color w:val="000000"/>
              </w:rPr>
              <w:t>2%</w:t>
            </w:r>
          </w:p>
        </w:tc>
      </w:tr>
      <w:tr w:rsidR="001A6B46" w14:paraId="76BE5B65" w14:textId="77777777" w:rsidTr="00B45BB4">
        <w:tc>
          <w:tcPr>
            <w:tcW w:w="3119" w:type="dxa"/>
            <w:vAlign w:val="bottom"/>
          </w:tcPr>
          <w:p w14:paraId="43F34FF6" w14:textId="49538DE2" w:rsidR="001A6B46" w:rsidRDefault="001A6B46" w:rsidP="004C683A">
            <w:pPr>
              <w:rPr>
                <w:sz w:val="24"/>
                <w:szCs w:val="24"/>
              </w:rPr>
            </w:pPr>
            <w:r>
              <w:rPr>
                <w:rFonts w:ascii="Calibri" w:hAnsi="Calibri" w:cs="Calibri"/>
                <w:color w:val="000000"/>
              </w:rPr>
              <w:t>Fertiliser</w:t>
            </w:r>
          </w:p>
        </w:tc>
        <w:tc>
          <w:tcPr>
            <w:tcW w:w="1394" w:type="dxa"/>
            <w:vAlign w:val="bottom"/>
          </w:tcPr>
          <w:p w14:paraId="684F5DC4" w14:textId="1618780D" w:rsidR="001A6B46" w:rsidRDefault="001A6B46" w:rsidP="001A6B46">
            <w:pPr>
              <w:jc w:val="center"/>
              <w:rPr>
                <w:sz w:val="24"/>
                <w:szCs w:val="24"/>
              </w:rPr>
            </w:pPr>
            <w:r>
              <w:rPr>
                <w:rFonts w:ascii="Calibri" w:hAnsi="Calibri" w:cs="Calibri"/>
                <w:color w:val="000000"/>
              </w:rPr>
              <w:t>5%</w:t>
            </w:r>
          </w:p>
        </w:tc>
        <w:tc>
          <w:tcPr>
            <w:tcW w:w="1395" w:type="dxa"/>
            <w:vAlign w:val="bottom"/>
          </w:tcPr>
          <w:p w14:paraId="47CD1A65" w14:textId="43C25294" w:rsidR="001A6B46" w:rsidRDefault="001A6B46" w:rsidP="001A6B46">
            <w:pPr>
              <w:jc w:val="center"/>
              <w:rPr>
                <w:sz w:val="24"/>
                <w:szCs w:val="24"/>
              </w:rPr>
            </w:pPr>
            <w:r>
              <w:rPr>
                <w:rFonts w:ascii="Calibri" w:hAnsi="Calibri" w:cs="Calibri"/>
                <w:color w:val="000000"/>
              </w:rPr>
              <w:t>5%</w:t>
            </w:r>
          </w:p>
        </w:tc>
        <w:tc>
          <w:tcPr>
            <w:tcW w:w="1395" w:type="dxa"/>
            <w:vAlign w:val="bottom"/>
          </w:tcPr>
          <w:p w14:paraId="227A67A4" w14:textId="10E6D907" w:rsidR="001A6B46" w:rsidRDefault="001A6B46" w:rsidP="001A6B46">
            <w:pPr>
              <w:jc w:val="center"/>
              <w:rPr>
                <w:sz w:val="24"/>
                <w:szCs w:val="24"/>
              </w:rPr>
            </w:pPr>
            <w:r>
              <w:rPr>
                <w:rFonts w:ascii="Calibri" w:hAnsi="Calibri" w:cs="Calibri"/>
                <w:color w:val="000000"/>
              </w:rPr>
              <w:t>6%</w:t>
            </w:r>
          </w:p>
        </w:tc>
        <w:tc>
          <w:tcPr>
            <w:tcW w:w="1395" w:type="dxa"/>
            <w:vAlign w:val="bottom"/>
          </w:tcPr>
          <w:p w14:paraId="4CE6B4FA" w14:textId="03208C2E" w:rsidR="001A6B46" w:rsidRDefault="001A6B46" w:rsidP="001A6B46">
            <w:pPr>
              <w:jc w:val="center"/>
              <w:rPr>
                <w:sz w:val="24"/>
                <w:szCs w:val="24"/>
              </w:rPr>
            </w:pPr>
            <w:r>
              <w:rPr>
                <w:rFonts w:ascii="Calibri" w:hAnsi="Calibri" w:cs="Calibri"/>
                <w:color w:val="000000"/>
              </w:rPr>
              <w:t>3%</w:t>
            </w:r>
          </w:p>
        </w:tc>
        <w:tc>
          <w:tcPr>
            <w:tcW w:w="1395" w:type="dxa"/>
            <w:vAlign w:val="bottom"/>
          </w:tcPr>
          <w:p w14:paraId="49B9AFB7" w14:textId="12AE81C0" w:rsidR="001A6B46" w:rsidRDefault="001A6B46" w:rsidP="001A6B46">
            <w:pPr>
              <w:jc w:val="center"/>
              <w:rPr>
                <w:sz w:val="24"/>
                <w:szCs w:val="24"/>
              </w:rPr>
            </w:pPr>
            <w:r>
              <w:rPr>
                <w:rFonts w:ascii="Calibri" w:hAnsi="Calibri" w:cs="Calibri"/>
                <w:color w:val="000000"/>
              </w:rPr>
              <w:t>6%</w:t>
            </w:r>
          </w:p>
        </w:tc>
        <w:tc>
          <w:tcPr>
            <w:tcW w:w="1395" w:type="dxa"/>
            <w:vAlign w:val="bottom"/>
          </w:tcPr>
          <w:p w14:paraId="7396D199" w14:textId="4BB46FB4" w:rsidR="001A6B46" w:rsidRDefault="001A6B46" w:rsidP="001A6B46">
            <w:pPr>
              <w:jc w:val="center"/>
              <w:rPr>
                <w:sz w:val="24"/>
                <w:szCs w:val="24"/>
              </w:rPr>
            </w:pPr>
            <w:r>
              <w:rPr>
                <w:rFonts w:ascii="Calibri" w:hAnsi="Calibri" w:cs="Calibri"/>
                <w:color w:val="000000"/>
              </w:rPr>
              <w:t>5%</w:t>
            </w:r>
          </w:p>
        </w:tc>
        <w:tc>
          <w:tcPr>
            <w:tcW w:w="1395" w:type="dxa"/>
            <w:vAlign w:val="bottom"/>
          </w:tcPr>
          <w:p w14:paraId="7BF3DDC7" w14:textId="642E2BC6" w:rsidR="001A6B46" w:rsidRDefault="001A6B46" w:rsidP="001A6B46">
            <w:pPr>
              <w:jc w:val="center"/>
              <w:rPr>
                <w:sz w:val="24"/>
                <w:szCs w:val="24"/>
              </w:rPr>
            </w:pPr>
            <w:r>
              <w:rPr>
                <w:rFonts w:ascii="Calibri" w:hAnsi="Calibri" w:cs="Calibri"/>
                <w:color w:val="000000"/>
              </w:rPr>
              <w:t>6%</w:t>
            </w:r>
          </w:p>
        </w:tc>
        <w:tc>
          <w:tcPr>
            <w:tcW w:w="1395" w:type="dxa"/>
            <w:vAlign w:val="bottom"/>
          </w:tcPr>
          <w:p w14:paraId="55901D98" w14:textId="5A522D89" w:rsidR="001A6B46" w:rsidRDefault="001A6B46" w:rsidP="001A6B46">
            <w:pPr>
              <w:jc w:val="center"/>
              <w:rPr>
                <w:sz w:val="24"/>
                <w:szCs w:val="24"/>
              </w:rPr>
            </w:pPr>
            <w:r>
              <w:rPr>
                <w:rFonts w:ascii="Calibri" w:hAnsi="Calibri" w:cs="Calibri"/>
                <w:color w:val="000000"/>
              </w:rPr>
              <w:t>4%</w:t>
            </w:r>
          </w:p>
        </w:tc>
      </w:tr>
      <w:tr w:rsidR="001A6B46" w14:paraId="4A077C9B" w14:textId="77777777" w:rsidTr="00B45BB4">
        <w:tc>
          <w:tcPr>
            <w:tcW w:w="3119" w:type="dxa"/>
            <w:tcBorders>
              <w:bottom w:val="single" w:sz="4" w:space="0" w:color="auto"/>
            </w:tcBorders>
            <w:vAlign w:val="bottom"/>
          </w:tcPr>
          <w:p w14:paraId="7FC52CA5" w14:textId="2576E8ED" w:rsidR="001A6B46" w:rsidRDefault="001A6B46" w:rsidP="004C683A">
            <w:pPr>
              <w:rPr>
                <w:sz w:val="24"/>
                <w:szCs w:val="24"/>
              </w:rPr>
            </w:pPr>
            <w:r>
              <w:rPr>
                <w:rFonts w:ascii="Calibri" w:hAnsi="Calibri" w:cs="Calibri"/>
                <w:color w:val="000000"/>
              </w:rPr>
              <w:t>Trees</w:t>
            </w:r>
          </w:p>
        </w:tc>
        <w:tc>
          <w:tcPr>
            <w:tcW w:w="1394" w:type="dxa"/>
            <w:tcBorders>
              <w:bottom w:val="single" w:sz="4" w:space="0" w:color="auto"/>
            </w:tcBorders>
            <w:vAlign w:val="bottom"/>
          </w:tcPr>
          <w:p w14:paraId="4A4EB8FE" w14:textId="1DA9BC1C"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491BB646" w14:textId="13A241C3"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472C78A4" w14:textId="52C1832C"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101D03EC" w14:textId="64D204B3"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442C2E21" w14:textId="680B3F6F"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6DF28712" w14:textId="128D818F"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0C34AAA3" w14:textId="59B00491" w:rsidR="001A6B46" w:rsidRDefault="001A6B46" w:rsidP="001A6B46">
            <w:pPr>
              <w:jc w:val="center"/>
              <w:rPr>
                <w:sz w:val="24"/>
                <w:szCs w:val="24"/>
              </w:rPr>
            </w:pPr>
            <w:r>
              <w:rPr>
                <w:rFonts w:ascii="Calibri" w:hAnsi="Calibri" w:cs="Calibri"/>
                <w:color w:val="000000"/>
              </w:rPr>
              <w:t>0%</w:t>
            </w:r>
          </w:p>
        </w:tc>
        <w:tc>
          <w:tcPr>
            <w:tcW w:w="1395" w:type="dxa"/>
            <w:tcBorders>
              <w:bottom w:val="single" w:sz="4" w:space="0" w:color="auto"/>
            </w:tcBorders>
            <w:vAlign w:val="bottom"/>
          </w:tcPr>
          <w:p w14:paraId="5B82F4AC" w14:textId="50AC22AA" w:rsidR="001A6B46" w:rsidRDefault="001A6B46" w:rsidP="001A6B46">
            <w:pPr>
              <w:jc w:val="center"/>
              <w:rPr>
                <w:sz w:val="24"/>
                <w:szCs w:val="24"/>
              </w:rPr>
            </w:pPr>
            <w:r>
              <w:rPr>
                <w:rFonts w:ascii="Calibri" w:hAnsi="Calibri" w:cs="Calibri"/>
                <w:color w:val="000000"/>
              </w:rPr>
              <w:t>0%</w:t>
            </w:r>
          </w:p>
        </w:tc>
      </w:tr>
    </w:tbl>
    <w:p w14:paraId="4CAF3D6B" w14:textId="38F45C36" w:rsidR="000C1095" w:rsidRDefault="000C1095" w:rsidP="00B62361">
      <w:pPr>
        <w:rPr>
          <w:sz w:val="24"/>
          <w:szCs w:val="24"/>
        </w:rPr>
      </w:pPr>
    </w:p>
    <w:p w14:paraId="11825897" w14:textId="30CC5888" w:rsidR="00D04BCE" w:rsidRDefault="00D04BCE" w:rsidP="00B62361">
      <w:pPr>
        <w:rPr>
          <w:sz w:val="24"/>
          <w:szCs w:val="24"/>
        </w:rPr>
      </w:pPr>
    </w:p>
    <w:p w14:paraId="2A6D2157" w14:textId="66DADA7D" w:rsidR="00B45BB4" w:rsidRDefault="00B45BB4" w:rsidP="00B62361">
      <w:pPr>
        <w:rPr>
          <w:sz w:val="24"/>
          <w:szCs w:val="24"/>
        </w:rPr>
      </w:pPr>
    </w:p>
    <w:p w14:paraId="74FCEBBD" w14:textId="77777777" w:rsidR="00212440" w:rsidRDefault="00212440" w:rsidP="00B62361">
      <w:pPr>
        <w:rPr>
          <w:sz w:val="24"/>
          <w:szCs w:val="24"/>
        </w:rPr>
      </w:pPr>
    </w:p>
    <w:p w14:paraId="49203A4F" w14:textId="188742A5" w:rsidR="00B45BB4" w:rsidRDefault="00B45BB4" w:rsidP="00B62361">
      <w:pPr>
        <w:rPr>
          <w:b/>
          <w:bCs/>
          <w:i/>
          <w:iCs/>
          <w:sz w:val="24"/>
          <w:szCs w:val="24"/>
        </w:rPr>
      </w:pPr>
      <w:r>
        <w:rPr>
          <w:b/>
          <w:bCs/>
          <w:i/>
          <w:iCs/>
          <w:sz w:val="24"/>
          <w:szCs w:val="24"/>
        </w:rPr>
        <w:lastRenderedPageBreak/>
        <w:t xml:space="preserve">Appendix 2 cont. </w:t>
      </w:r>
    </w:p>
    <w:p w14:paraId="1853ABA8" w14:textId="54BA0874" w:rsidR="00DA3042" w:rsidRDefault="00B45BB4" w:rsidP="00DA3042">
      <w:pPr>
        <w:rPr>
          <w:sz w:val="24"/>
          <w:szCs w:val="24"/>
        </w:rPr>
      </w:pPr>
      <w:r>
        <w:rPr>
          <w:sz w:val="24"/>
          <w:szCs w:val="24"/>
        </w:rPr>
        <w:t>Typical regional, state, country-wide</w:t>
      </w:r>
      <w:r w:rsidR="00731F36">
        <w:rPr>
          <w:sz w:val="24"/>
          <w:szCs w:val="24"/>
        </w:rPr>
        <w:t>,</w:t>
      </w:r>
      <w:r>
        <w:rPr>
          <w:sz w:val="24"/>
          <w:szCs w:val="24"/>
        </w:rPr>
        <w:t xml:space="preserve"> and level of grain feeding percentage of GHG emissions, based on several years of DairyBase data (Dairy Farm Monitor Project and Queensland Dairy Accounting Scheme from 2015-16 to 2021-22).</w:t>
      </w:r>
      <w:r w:rsidR="00DA3042">
        <w:rPr>
          <w:sz w:val="24"/>
          <w:szCs w:val="24"/>
        </w:rPr>
        <w:t xml:space="preserve"> Note that with the upgrade of ADCC/DairyBase with respect to tree carbon sequestration, we were unable to generate a percentage of net emissions attributed to carbon sequestered in trees. </w:t>
      </w:r>
    </w:p>
    <w:tbl>
      <w:tblPr>
        <w:tblStyle w:val="TableGrid"/>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1329"/>
        <w:gridCol w:w="1330"/>
        <w:gridCol w:w="1330"/>
        <w:gridCol w:w="1330"/>
        <w:gridCol w:w="1329"/>
        <w:gridCol w:w="1330"/>
        <w:gridCol w:w="1330"/>
        <w:gridCol w:w="1330"/>
        <w:gridCol w:w="1330"/>
      </w:tblGrid>
      <w:tr w:rsidR="00B45BB4" w14:paraId="22D6CDF2" w14:textId="523794C4" w:rsidTr="001E02E8">
        <w:tc>
          <w:tcPr>
            <w:tcW w:w="2972" w:type="dxa"/>
            <w:tcBorders>
              <w:top w:val="single" w:sz="4" w:space="0" w:color="auto"/>
              <w:bottom w:val="single" w:sz="4" w:space="0" w:color="auto"/>
            </w:tcBorders>
            <w:shd w:val="clear" w:color="auto" w:fill="D0CECE" w:themeFill="background2" w:themeFillShade="E6"/>
            <w:vAlign w:val="center"/>
          </w:tcPr>
          <w:p w14:paraId="33CB19B5" w14:textId="156C8053" w:rsidR="005B2A98" w:rsidRDefault="001E02E8" w:rsidP="005B2A98">
            <w:pPr>
              <w:rPr>
                <w:sz w:val="24"/>
                <w:szCs w:val="24"/>
              </w:rPr>
            </w:pPr>
            <w:r w:rsidRPr="001E02E8">
              <w:rPr>
                <w:b/>
                <w:bCs/>
                <w:sz w:val="24"/>
                <w:szCs w:val="24"/>
              </w:rPr>
              <w:t>Source/sink GHG emissions</w:t>
            </w:r>
          </w:p>
        </w:tc>
        <w:tc>
          <w:tcPr>
            <w:tcW w:w="1329" w:type="dxa"/>
            <w:tcBorders>
              <w:top w:val="single" w:sz="4" w:space="0" w:color="auto"/>
              <w:bottom w:val="single" w:sz="4" w:space="0" w:color="auto"/>
            </w:tcBorders>
            <w:shd w:val="clear" w:color="auto" w:fill="D0CECE" w:themeFill="background2" w:themeFillShade="E6"/>
            <w:vAlign w:val="center"/>
          </w:tcPr>
          <w:p w14:paraId="11A5FF3C" w14:textId="53539260" w:rsidR="005B2A98" w:rsidRPr="005B2A98" w:rsidRDefault="005B2A98" w:rsidP="005B2A98">
            <w:pPr>
              <w:jc w:val="center"/>
              <w:rPr>
                <w:b/>
                <w:bCs/>
                <w:sz w:val="24"/>
                <w:szCs w:val="24"/>
              </w:rPr>
            </w:pPr>
            <w:r w:rsidRPr="005B2A98">
              <w:rPr>
                <w:rFonts w:ascii="Calibri" w:hAnsi="Calibri" w:cs="Calibri"/>
                <w:b/>
                <w:bCs/>
                <w:color w:val="000000"/>
              </w:rPr>
              <w:t>Queensland</w:t>
            </w:r>
          </w:p>
        </w:tc>
        <w:tc>
          <w:tcPr>
            <w:tcW w:w="1330" w:type="dxa"/>
            <w:tcBorders>
              <w:top w:val="single" w:sz="4" w:space="0" w:color="auto"/>
              <w:bottom w:val="single" w:sz="4" w:space="0" w:color="auto"/>
            </w:tcBorders>
            <w:shd w:val="clear" w:color="auto" w:fill="D0CECE" w:themeFill="background2" w:themeFillShade="E6"/>
            <w:vAlign w:val="center"/>
          </w:tcPr>
          <w:p w14:paraId="07B80D8F" w14:textId="77777777" w:rsidR="00554FBD" w:rsidRDefault="005B2A98" w:rsidP="005B2A98">
            <w:pPr>
              <w:jc w:val="center"/>
              <w:rPr>
                <w:rFonts w:ascii="Calibri" w:hAnsi="Calibri" w:cs="Calibri"/>
                <w:b/>
                <w:bCs/>
                <w:color w:val="000000"/>
              </w:rPr>
            </w:pPr>
            <w:r w:rsidRPr="005B2A98">
              <w:rPr>
                <w:rFonts w:ascii="Calibri" w:hAnsi="Calibri" w:cs="Calibri"/>
                <w:b/>
                <w:bCs/>
                <w:color w:val="000000"/>
              </w:rPr>
              <w:t xml:space="preserve">QLD- </w:t>
            </w:r>
          </w:p>
          <w:p w14:paraId="283D6967" w14:textId="1E17878E" w:rsidR="005B2A98" w:rsidRPr="005B2A98" w:rsidRDefault="005B2A98" w:rsidP="005B2A98">
            <w:pPr>
              <w:jc w:val="center"/>
              <w:rPr>
                <w:b/>
                <w:bCs/>
                <w:sz w:val="24"/>
                <w:szCs w:val="24"/>
              </w:rPr>
            </w:pPr>
            <w:r w:rsidRPr="005B2A98">
              <w:rPr>
                <w:rFonts w:ascii="Calibri" w:hAnsi="Calibri" w:cs="Calibri"/>
                <w:b/>
                <w:bCs/>
                <w:color w:val="000000"/>
              </w:rPr>
              <w:t>North</w:t>
            </w:r>
          </w:p>
        </w:tc>
        <w:tc>
          <w:tcPr>
            <w:tcW w:w="1330" w:type="dxa"/>
            <w:tcBorders>
              <w:top w:val="single" w:sz="4" w:space="0" w:color="auto"/>
              <w:bottom w:val="single" w:sz="4" w:space="0" w:color="auto"/>
            </w:tcBorders>
            <w:shd w:val="clear" w:color="auto" w:fill="D0CECE" w:themeFill="background2" w:themeFillShade="E6"/>
            <w:vAlign w:val="center"/>
          </w:tcPr>
          <w:p w14:paraId="0562104A" w14:textId="77777777" w:rsidR="00554FBD" w:rsidRDefault="005B2A98" w:rsidP="005B2A98">
            <w:pPr>
              <w:jc w:val="center"/>
              <w:rPr>
                <w:rFonts w:ascii="Calibri" w:hAnsi="Calibri" w:cs="Calibri"/>
                <w:b/>
                <w:bCs/>
                <w:color w:val="000000"/>
              </w:rPr>
            </w:pPr>
            <w:r w:rsidRPr="005B2A98">
              <w:rPr>
                <w:rFonts w:ascii="Calibri" w:hAnsi="Calibri" w:cs="Calibri"/>
                <w:b/>
                <w:bCs/>
                <w:color w:val="000000"/>
              </w:rPr>
              <w:t xml:space="preserve">QLD- </w:t>
            </w:r>
          </w:p>
          <w:p w14:paraId="57016EA1" w14:textId="227BE08C" w:rsidR="005B2A98" w:rsidRPr="005B2A98" w:rsidRDefault="005B2A98" w:rsidP="005B2A98">
            <w:pPr>
              <w:jc w:val="center"/>
              <w:rPr>
                <w:b/>
                <w:bCs/>
                <w:sz w:val="24"/>
                <w:szCs w:val="24"/>
              </w:rPr>
            </w:pPr>
            <w:r w:rsidRPr="005B2A98">
              <w:rPr>
                <w:rFonts w:ascii="Calibri" w:hAnsi="Calibri" w:cs="Calibri"/>
                <w:b/>
                <w:bCs/>
                <w:color w:val="000000"/>
              </w:rPr>
              <w:t>South</w:t>
            </w:r>
          </w:p>
        </w:tc>
        <w:tc>
          <w:tcPr>
            <w:tcW w:w="1330" w:type="dxa"/>
            <w:tcBorders>
              <w:top w:val="single" w:sz="4" w:space="0" w:color="auto"/>
              <w:bottom w:val="single" w:sz="4" w:space="0" w:color="auto"/>
            </w:tcBorders>
            <w:shd w:val="clear" w:color="auto" w:fill="D0CECE" w:themeFill="background2" w:themeFillShade="E6"/>
            <w:vAlign w:val="center"/>
          </w:tcPr>
          <w:p w14:paraId="6CFE0B00" w14:textId="2E29A7ED" w:rsidR="005B2A98" w:rsidRPr="005B2A98" w:rsidRDefault="005B2A98" w:rsidP="005B2A98">
            <w:pPr>
              <w:jc w:val="center"/>
              <w:rPr>
                <w:b/>
                <w:bCs/>
                <w:sz w:val="24"/>
                <w:szCs w:val="24"/>
              </w:rPr>
            </w:pPr>
            <w:r w:rsidRPr="005B2A98">
              <w:rPr>
                <w:rFonts w:ascii="Calibri" w:hAnsi="Calibri" w:cs="Calibri"/>
                <w:b/>
                <w:bCs/>
                <w:color w:val="000000"/>
              </w:rPr>
              <w:t>South Australia</w:t>
            </w:r>
          </w:p>
        </w:tc>
        <w:tc>
          <w:tcPr>
            <w:tcW w:w="1329" w:type="dxa"/>
            <w:tcBorders>
              <w:top w:val="single" w:sz="4" w:space="0" w:color="auto"/>
              <w:bottom w:val="single" w:sz="4" w:space="0" w:color="auto"/>
            </w:tcBorders>
            <w:shd w:val="clear" w:color="auto" w:fill="D0CECE" w:themeFill="background2" w:themeFillShade="E6"/>
            <w:vAlign w:val="center"/>
          </w:tcPr>
          <w:p w14:paraId="68F8EA25" w14:textId="3EE0AFC5" w:rsidR="005B2A98" w:rsidRPr="005B2A98" w:rsidRDefault="005B2A98" w:rsidP="005B2A98">
            <w:pPr>
              <w:jc w:val="center"/>
              <w:rPr>
                <w:b/>
                <w:bCs/>
                <w:sz w:val="24"/>
                <w:szCs w:val="24"/>
              </w:rPr>
            </w:pPr>
            <w:r w:rsidRPr="005B2A98">
              <w:rPr>
                <w:rFonts w:ascii="Calibri" w:hAnsi="Calibri" w:cs="Calibri"/>
                <w:b/>
                <w:bCs/>
                <w:color w:val="000000"/>
              </w:rPr>
              <w:t xml:space="preserve">Tasmania </w:t>
            </w:r>
          </w:p>
        </w:tc>
        <w:tc>
          <w:tcPr>
            <w:tcW w:w="1330" w:type="dxa"/>
            <w:tcBorders>
              <w:top w:val="single" w:sz="4" w:space="0" w:color="auto"/>
              <w:bottom w:val="single" w:sz="4" w:space="0" w:color="auto"/>
            </w:tcBorders>
            <w:shd w:val="clear" w:color="auto" w:fill="D0CECE" w:themeFill="background2" w:themeFillShade="E6"/>
            <w:vAlign w:val="center"/>
          </w:tcPr>
          <w:p w14:paraId="303B840E" w14:textId="124607D4" w:rsidR="005B2A98" w:rsidRPr="005B2A98" w:rsidRDefault="005B2A98" w:rsidP="005B2A98">
            <w:pPr>
              <w:jc w:val="center"/>
              <w:rPr>
                <w:b/>
                <w:bCs/>
                <w:sz w:val="24"/>
                <w:szCs w:val="24"/>
              </w:rPr>
            </w:pPr>
            <w:r w:rsidRPr="005B2A98">
              <w:rPr>
                <w:rFonts w:ascii="Calibri" w:hAnsi="Calibri" w:cs="Calibri"/>
                <w:b/>
                <w:bCs/>
                <w:color w:val="000000"/>
              </w:rPr>
              <w:t>Western Australia</w:t>
            </w:r>
          </w:p>
        </w:tc>
        <w:tc>
          <w:tcPr>
            <w:tcW w:w="1330" w:type="dxa"/>
            <w:tcBorders>
              <w:top w:val="single" w:sz="4" w:space="0" w:color="auto"/>
              <w:bottom w:val="single" w:sz="4" w:space="0" w:color="auto"/>
            </w:tcBorders>
            <w:shd w:val="clear" w:color="auto" w:fill="D0CECE" w:themeFill="background2" w:themeFillShade="E6"/>
            <w:vAlign w:val="center"/>
          </w:tcPr>
          <w:p w14:paraId="7645D52A" w14:textId="74755E4E" w:rsidR="005B2A98" w:rsidRPr="005B2A98" w:rsidRDefault="005B2A98" w:rsidP="005B2A98">
            <w:pPr>
              <w:jc w:val="center"/>
              <w:rPr>
                <w:b/>
                <w:bCs/>
                <w:sz w:val="24"/>
                <w:szCs w:val="24"/>
              </w:rPr>
            </w:pPr>
            <w:r w:rsidRPr="005B2A98">
              <w:rPr>
                <w:rFonts w:ascii="Calibri" w:hAnsi="Calibri" w:cs="Calibri"/>
                <w:b/>
                <w:bCs/>
                <w:color w:val="000000"/>
              </w:rPr>
              <w:t>Low grain</w:t>
            </w:r>
            <w:r w:rsidR="00B45BB4" w:rsidRPr="00B45BB4">
              <w:rPr>
                <w:rFonts w:ascii="Calibri" w:hAnsi="Calibri" w:cs="Calibri"/>
                <w:b/>
                <w:bCs/>
                <w:color w:val="000000"/>
                <w:vertAlign w:val="superscript"/>
              </w:rPr>
              <w:t>1</w:t>
            </w:r>
            <w:r w:rsidRPr="005B2A98">
              <w:rPr>
                <w:rFonts w:ascii="Calibri" w:hAnsi="Calibri" w:cs="Calibri"/>
                <w:b/>
                <w:bCs/>
                <w:color w:val="000000"/>
              </w:rPr>
              <w:t xml:space="preserve"> </w:t>
            </w:r>
          </w:p>
        </w:tc>
        <w:tc>
          <w:tcPr>
            <w:tcW w:w="1330" w:type="dxa"/>
            <w:tcBorders>
              <w:top w:val="single" w:sz="4" w:space="0" w:color="auto"/>
              <w:bottom w:val="single" w:sz="4" w:space="0" w:color="auto"/>
            </w:tcBorders>
            <w:shd w:val="clear" w:color="auto" w:fill="D0CECE" w:themeFill="background2" w:themeFillShade="E6"/>
            <w:vAlign w:val="center"/>
          </w:tcPr>
          <w:p w14:paraId="700FA26B" w14:textId="55AFC60E" w:rsidR="005B2A98" w:rsidRPr="005B2A98" w:rsidRDefault="005B2A98" w:rsidP="005B2A98">
            <w:pPr>
              <w:jc w:val="center"/>
              <w:rPr>
                <w:b/>
                <w:bCs/>
                <w:sz w:val="24"/>
                <w:szCs w:val="24"/>
              </w:rPr>
            </w:pPr>
            <w:r w:rsidRPr="005B2A98">
              <w:rPr>
                <w:rFonts w:ascii="Calibri" w:hAnsi="Calibri" w:cs="Calibri"/>
                <w:b/>
                <w:bCs/>
                <w:color w:val="000000"/>
              </w:rPr>
              <w:t>Med grain</w:t>
            </w:r>
            <w:r w:rsidR="00B45BB4" w:rsidRPr="00B45BB4">
              <w:rPr>
                <w:rFonts w:ascii="Calibri" w:hAnsi="Calibri" w:cs="Calibri"/>
                <w:b/>
                <w:bCs/>
                <w:color w:val="000000"/>
                <w:vertAlign w:val="superscript"/>
              </w:rPr>
              <w:t>1</w:t>
            </w:r>
          </w:p>
        </w:tc>
        <w:tc>
          <w:tcPr>
            <w:tcW w:w="1330" w:type="dxa"/>
            <w:tcBorders>
              <w:top w:val="single" w:sz="4" w:space="0" w:color="auto"/>
              <w:bottom w:val="single" w:sz="4" w:space="0" w:color="auto"/>
            </w:tcBorders>
            <w:shd w:val="clear" w:color="auto" w:fill="D0CECE" w:themeFill="background2" w:themeFillShade="E6"/>
            <w:vAlign w:val="center"/>
          </w:tcPr>
          <w:p w14:paraId="39530E20" w14:textId="534DDA55" w:rsidR="005B2A98" w:rsidRPr="005B2A98" w:rsidRDefault="005B2A98" w:rsidP="005B2A98">
            <w:pPr>
              <w:jc w:val="center"/>
              <w:rPr>
                <w:rFonts w:ascii="Calibri" w:hAnsi="Calibri" w:cs="Calibri"/>
                <w:b/>
                <w:bCs/>
                <w:color w:val="000000"/>
              </w:rPr>
            </w:pPr>
            <w:r w:rsidRPr="005B2A98">
              <w:rPr>
                <w:rFonts w:ascii="Calibri" w:hAnsi="Calibri" w:cs="Calibri"/>
                <w:b/>
                <w:bCs/>
                <w:color w:val="000000"/>
              </w:rPr>
              <w:t>High grain</w:t>
            </w:r>
            <w:r w:rsidR="00B45BB4" w:rsidRPr="00B45BB4">
              <w:rPr>
                <w:rFonts w:ascii="Calibri" w:hAnsi="Calibri" w:cs="Calibri"/>
                <w:b/>
                <w:bCs/>
                <w:color w:val="000000"/>
                <w:vertAlign w:val="superscript"/>
              </w:rPr>
              <w:t>1</w:t>
            </w:r>
            <w:r w:rsidRPr="005B2A98">
              <w:rPr>
                <w:rFonts w:ascii="Calibri" w:hAnsi="Calibri" w:cs="Calibri"/>
                <w:b/>
                <w:bCs/>
                <w:color w:val="000000"/>
              </w:rPr>
              <w:t xml:space="preserve"> </w:t>
            </w:r>
          </w:p>
        </w:tc>
      </w:tr>
      <w:tr w:rsidR="002F3A2D" w14:paraId="04860EBF" w14:textId="4E85330C" w:rsidTr="00B45BB4">
        <w:tc>
          <w:tcPr>
            <w:tcW w:w="2972" w:type="dxa"/>
            <w:tcBorders>
              <w:top w:val="single" w:sz="4" w:space="0" w:color="auto"/>
            </w:tcBorders>
            <w:vAlign w:val="bottom"/>
          </w:tcPr>
          <w:p w14:paraId="25A7861F" w14:textId="4279D915" w:rsidR="002F3A2D" w:rsidRDefault="002F3A2D" w:rsidP="002F3A2D">
            <w:pPr>
              <w:rPr>
                <w:sz w:val="24"/>
                <w:szCs w:val="24"/>
              </w:rPr>
            </w:pPr>
            <w:r>
              <w:rPr>
                <w:rFonts w:ascii="Calibri" w:hAnsi="Calibri" w:cs="Calibri"/>
                <w:color w:val="000000"/>
              </w:rPr>
              <w:t>Enteric CH</w:t>
            </w:r>
            <w:r w:rsidRPr="002F3A2D">
              <w:rPr>
                <w:rFonts w:ascii="Calibri" w:hAnsi="Calibri" w:cs="Calibri"/>
                <w:color w:val="000000"/>
                <w:vertAlign w:val="subscript"/>
              </w:rPr>
              <w:t>4</w:t>
            </w:r>
          </w:p>
        </w:tc>
        <w:tc>
          <w:tcPr>
            <w:tcW w:w="1329" w:type="dxa"/>
            <w:tcBorders>
              <w:top w:val="single" w:sz="4" w:space="0" w:color="auto"/>
            </w:tcBorders>
            <w:vAlign w:val="bottom"/>
          </w:tcPr>
          <w:p w14:paraId="26D1187F" w14:textId="712EACCE" w:rsidR="002F3A2D" w:rsidRDefault="002F3A2D" w:rsidP="002F3A2D">
            <w:pPr>
              <w:jc w:val="center"/>
              <w:rPr>
                <w:sz w:val="24"/>
                <w:szCs w:val="24"/>
              </w:rPr>
            </w:pPr>
            <w:r>
              <w:rPr>
                <w:rFonts w:ascii="Calibri" w:hAnsi="Calibri" w:cs="Calibri"/>
                <w:color w:val="000000"/>
              </w:rPr>
              <w:t>60%</w:t>
            </w:r>
          </w:p>
        </w:tc>
        <w:tc>
          <w:tcPr>
            <w:tcW w:w="1330" w:type="dxa"/>
            <w:tcBorders>
              <w:top w:val="single" w:sz="4" w:space="0" w:color="auto"/>
            </w:tcBorders>
            <w:vAlign w:val="bottom"/>
          </w:tcPr>
          <w:p w14:paraId="3EA593AF" w14:textId="2399C1BB" w:rsidR="002F3A2D" w:rsidRDefault="002F3A2D" w:rsidP="002F3A2D">
            <w:pPr>
              <w:jc w:val="center"/>
              <w:rPr>
                <w:sz w:val="24"/>
                <w:szCs w:val="24"/>
              </w:rPr>
            </w:pPr>
            <w:r>
              <w:rPr>
                <w:rFonts w:ascii="Calibri" w:hAnsi="Calibri" w:cs="Calibri"/>
                <w:color w:val="000000"/>
              </w:rPr>
              <w:t>61%</w:t>
            </w:r>
          </w:p>
        </w:tc>
        <w:tc>
          <w:tcPr>
            <w:tcW w:w="1330" w:type="dxa"/>
            <w:tcBorders>
              <w:top w:val="single" w:sz="4" w:space="0" w:color="auto"/>
            </w:tcBorders>
            <w:vAlign w:val="bottom"/>
          </w:tcPr>
          <w:p w14:paraId="711F685A" w14:textId="7B8D6090" w:rsidR="002F3A2D" w:rsidRDefault="002F3A2D" w:rsidP="002F3A2D">
            <w:pPr>
              <w:jc w:val="center"/>
              <w:rPr>
                <w:sz w:val="24"/>
                <w:szCs w:val="24"/>
              </w:rPr>
            </w:pPr>
            <w:r>
              <w:rPr>
                <w:rFonts w:ascii="Calibri" w:hAnsi="Calibri" w:cs="Calibri"/>
                <w:color w:val="000000"/>
              </w:rPr>
              <w:t>60%</w:t>
            </w:r>
          </w:p>
        </w:tc>
        <w:tc>
          <w:tcPr>
            <w:tcW w:w="1330" w:type="dxa"/>
            <w:tcBorders>
              <w:top w:val="single" w:sz="4" w:space="0" w:color="auto"/>
            </w:tcBorders>
            <w:vAlign w:val="bottom"/>
          </w:tcPr>
          <w:p w14:paraId="5CF34559" w14:textId="187AB54B" w:rsidR="002F3A2D" w:rsidRDefault="002F3A2D" w:rsidP="002F3A2D">
            <w:pPr>
              <w:jc w:val="center"/>
              <w:rPr>
                <w:sz w:val="24"/>
                <w:szCs w:val="24"/>
              </w:rPr>
            </w:pPr>
            <w:r>
              <w:rPr>
                <w:rFonts w:ascii="Calibri" w:hAnsi="Calibri" w:cs="Calibri"/>
                <w:color w:val="000000"/>
              </w:rPr>
              <w:t>61%</w:t>
            </w:r>
          </w:p>
        </w:tc>
        <w:tc>
          <w:tcPr>
            <w:tcW w:w="1329" w:type="dxa"/>
            <w:tcBorders>
              <w:top w:val="single" w:sz="4" w:space="0" w:color="auto"/>
            </w:tcBorders>
            <w:vAlign w:val="bottom"/>
          </w:tcPr>
          <w:p w14:paraId="7BB83C86" w14:textId="5F2E2CF1" w:rsidR="002F3A2D" w:rsidRDefault="002F3A2D" w:rsidP="002F3A2D">
            <w:pPr>
              <w:jc w:val="center"/>
              <w:rPr>
                <w:sz w:val="24"/>
                <w:szCs w:val="24"/>
              </w:rPr>
            </w:pPr>
            <w:r>
              <w:rPr>
                <w:rFonts w:ascii="Calibri" w:hAnsi="Calibri" w:cs="Calibri"/>
                <w:color w:val="000000"/>
              </w:rPr>
              <w:t>66%</w:t>
            </w:r>
          </w:p>
        </w:tc>
        <w:tc>
          <w:tcPr>
            <w:tcW w:w="1330" w:type="dxa"/>
            <w:tcBorders>
              <w:top w:val="single" w:sz="4" w:space="0" w:color="auto"/>
            </w:tcBorders>
            <w:vAlign w:val="bottom"/>
          </w:tcPr>
          <w:p w14:paraId="65F6CEAC" w14:textId="68293F88" w:rsidR="002F3A2D" w:rsidRDefault="002F3A2D" w:rsidP="002F3A2D">
            <w:pPr>
              <w:jc w:val="center"/>
              <w:rPr>
                <w:sz w:val="24"/>
                <w:szCs w:val="24"/>
              </w:rPr>
            </w:pPr>
            <w:r>
              <w:rPr>
                <w:rFonts w:ascii="Calibri" w:hAnsi="Calibri" w:cs="Calibri"/>
                <w:color w:val="000000"/>
              </w:rPr>
              <w:t>60%</w:t>
            </w:r>
          </w:p>
        </w:tc>
        <w:tc>
          <w:tcPr>
            <w:tcW w:w="1330" w:type="dxa"/>
            <w:tcBorders>
              <w:top w:val="single" w:sz="4" w:space="0" w:color="auto"/>
            </w:tcBorders>
            <w:vAlign w:val="bottom"/>
          </w:tcPr>
          <w:p w14:paraId="48638F33" w14:textId="22B61E37" w:rsidR="002F3A2D" w:rsidRDefault="002F3A2D" w:rsidP="002F3A2D">
            <w:pPr>
              <w:jc w:val="center"/>
              <w:rPr>
                <w:sz w:val="24"/>
                <w:szCs w:val="24"/>
              </w:rPr>
            </w:pPr>
            <w:r>
              <w:rPr>
                <w:rFonts w:ascii="Calibri" w:hAnsi="Calibri" w:cs="Calibri"/>
                <w:color w:val="000000"/>
              </w:rPr>
              <w:t>64%</w:t>
            </w:r>
          </w:p>
        </w:tc>
        <w:tc>
          <w:tcPr>
            <w:tcW w:w="1330" w:type="dxa"/>
            <w:tcBorders>
              <w:top w:val="single" w:sz="4" w:space="0" w:color="auto"/>
            </w:tcBorders>
            <w:vAlign w:val="bottom"/>
          </w:tcPr>
          <w:p w14:paraId="2E7974E4" w14:textId="26E81B0E" w:rsidR="002F3A2D" w:rsidRDefault="002F3A2D" w:rsidP="002F3A2D">
            <w:pPr>
              <w:jc w:val="center"/>
              <w:rPr>
                <w:sz w:val="24"/>
                <w:szCs w:val="24"/>
              </w:rPr>
            </w:pPr>
            <w:r>
              <w:rPr>
                <w:rFonts w:ascii="Calibri" w:hAnsi="Calibri" w:cs="Calibri"/>
                <w:color w:val="000000"/>
              </w:rPr>
              <w:t>60%</w:t>
            </w:r>
          </w:p>
        </w:tc>
        <w:tc>
          <w:tcPr>
            <w:tcW w:w="1330" w:type="dxa"/>
            <w:tcBorders>
              <w:top w:val="single" w:sz="4" w:space="0" w:color="auto"/>
            </w:tcBorders>
            <w:vAlign w:val="bottom"/>
          </w:tcPr>
          <w:p w14:paraId="670421CF" w14:textId="3162A6A7" w:rsidR="002F3A2D" w:rsidRDefault="002F3A2D" w:rsidP="002F3A2D">
            <w:pPr>
              <w:jc w:val="center"/>
              <w:rPr>
                <w:rFonts w:ascii="Calibri" w:hAnsi="Calibri" w:cs="Calibri"/>
                <w:color w:val="000000"/>
              </w:rPr>
            </w:pPr>
            <w:r>
              <w:rPr>
                <w:rFonts w:ascii="Calibri" w:hAnsi="Calibri" w:cs="Calibri"/>
                <w:color w:val="000000"/>
              </w:rPr>
              <w:t>59%</w:t>
            </w:r>
          </w:p>
        </w:tc>
      </w:tr>
      <w:tr w:rsidR="002F3A2D" w14:paraId="7765FDD8" w14:textId="4C4B56C6" w:rsidTr="00B45BB4">
        <w:tc>
          <w:tcPr>
            <w:tcW w:w="2972" w:type="dxa"/>
            <w:vAlign w:val="bottom"/>
          </w:tcPr>
          <w:p w14:paraId="25F0668B" w14:textId="5E1EABF6" w:rsidR="002F3A2D" w:rsidRDefault="002F3A2D" w:rsidP="002F3A2D">
            <w:pPr>
              <w:rPr>
                <w:sz w:val="24"/>
                <w:szCs w:val="24"/>
              </w:rPr>
            </w:pPr>
            <w:r>
              <w:rPr>
                <w:rFonts w:ascii="Calibri" w:hAnsi="Calibri" w:cs="Calibri"/>
                <w:color w:val="000000"/>
              </w:rPr>
              <w:t>Waste CH</w:t>
            </w:r>
            <w:r w:rsidRPr="002F3A2D">
              <w:rPr>
                <w:rFonts w:ascii="Calibri" w:hAnsi="Calibri" w:cs="Calibri"/>
                <w:color w:val="000000"/>
                <w:vertAlign w:val="subscript"/>
              </w:rPr>
              <w:t>4</w:t>
            </w:r>
          </w:p>
        </w:tc>
        <w:tc>
          <w:tcPr>
            <w:tcW w:w="1329" w:type="dxa"/>
            <w:vAlign w:val="bottom"/>
          </w:tcPr>
          <w:p w14:paraId="129A9BF8" w14:textId="0A3F38C2" w:rsidR="002F3A2D" w:rsidRDefault="002F3A2D" w:rsidP="002F3A2D">
            <w:pPr>
              <w:jc w:val="center"/>
              <w:rPr>
                <w:sz w:val="24"/>
                <w:szCs w:val="24"/>
              </w:rPr>
            </w:pPr>
            <w:r>
              <w:rPr>
                <w:rFonts w:ascii="Calibri" w:hAnsi="Calibri" w:cs="Calibri"/>
                <w:color w:val="000000"/>
              </w:rPr>
              <w:t>9%</w:t>
            </w:r>
          </w:p>
        </w:tc>
        <w:tc>
          <w:tcPr>
            <w:tcW w:w="1330" w:type="dxa"/>
            <w:vAlign w:val="bottom"/>
          </w:tcPr>
          <w:p w14:paraId="505E38C8" w14:textId="2D68C1E0" w:rsidR="002F3A2D" w:rsidRDefault="002F3A2D" w:rsidP="002F3A2D">
            <w:pPr>
              <w:jc w:val="center"/>
              <w:rPr>
                <w:sz w:val="24"/>
                <w:szCs w:val="24"/>
              </w:rPr>
            </w:pPr>
            <w:r>
              <w:rPr>
                <w:rFonts w:ascii="Calibri" w:hAnsi="Calibri" w:cs="Calibri"/>
                <w:color w:val="000000"/>
              </w:rPr>
              <w:t>9%</w:t>
            </w:r>
          </w:p>
        </w:tc>
        <w:tc>
          <w:tcPr>
            <w:tcW w:w="1330" w:type="dxa"/>
            <w:vAlign w:val="bottom"/>
          </w:tcPr>
          <w:p w14:paraId="49B539A1" w14:textId="56A8502B" w:rsidR="002F3A2D" w:rsidRDefault="002F3A2D" w:rsidP="002F3A2D">
            <w:pPr>
              <w:jc w:val="center"/>
              <w:rPr>
                <w:sz w:val="24"/>
                <w:szCs w:val="24"/>
              </w:rPr>
            </w:pPr>
            <w:r>
              <w:rPr>
                <w:rFonts w:ascii="Calibri" w:hAnsi="Calibri" w:cs="Calibri"/>
                <w:color w:val="000000"/>
              </w:rPr>
              <w:t>9%</w:t>
            </w:r>
          </w:p>
        </w:tc>
        <w:tc>
          <w:tcPr>
            <w:tcW w:w="1330" w:type="dxa"/>
            <w:vAlign w:val="bottom"/>
          </w:tcPr>
          <w:p w14:paraId="4870C1AF" w14:textId="4B14F411" w:rsidR="002F3A2D" w:rsidRDefault="002F3A2D" w:rsidP="002F3A2D">
            <w:pPr>
              <w:jc w:val="center"/>
              <w:rPr>
                <w:sz w:val="24"/>
                <w:szCs w:val="24"/>
              </w:rPr>
            </w:pPr>
            <w:r>
              <w:rPr>
                <w:rFonts w:ascii="Calibri" w:hAnsi="Calibri" w:cs="Calibri"/>
                <w:color w:val="000000"/>
              </w:rPr>
              <w:t>10%</w:t>
            </w:r>
          </w:p>
        </w:tc>
        <w:tc>
          <w:tcPr>
            <w:tcW w:w="1329" w:type="dxa"/>
            <w:vAlign w:val="bottom"/>
          </w:tcPr>
          <w:p w14:paraId="28C33B81" w14:textId="2EEE3DCF" w:rsidR="002F3A2D" w:rsidRDefault="002F3A2D" w:rsidP="002F3A2D">
            <w:pPr>
              <w:jc w:val="center"/>
              <w:rPr>
                <w:sz w:val="24"/>
                <w:szCs w:val="24"/>
              </w:rPr>
            </w:pPr>
            <w:r>
              <w:rPr>
                <w:rFonts w:ascii="Calibri" w:hAnsi="Calibri" w:cs="Calibri"/>
                <w:color w:val="000000"/>
              </w:rPr>
              <w:t>8%</w:t>
            </w:r>
          </w:p>
        </w:tc>
        <w:tc>
          <w:tcPr>
            <w:tcW w:w="1330" w:type="dxa"/>
            <w:vAlign w:val="bottom"/>
          </w:tcPr>
          <w:p w14:paraId="64CE910A" w14:textId="3B4F0365" w:rsidR="002F3A2D" w:rsidRDefault="002F3A2D" w:rsidP="002F3A2D">
            <w:pPr>
              <w:jc w:val="center"/>
              <w:rPr>
                <w:sz w:val="24"/>
                <w:szCs w:val="24"/>
              </w:rPr>
            </w:pPr>
            <w:r>
              <w:rPr>
                <w:rFonts w:ascii="Calibri" w:hAnsi="Calibri" w:cs="Calibri"/>
                <w:color w:val="000000"/>
              </w:rPr>
              <w:t>8%</w:t>
            </w:r>
          </w:p>
        </w:tc>
        <w:tc>
          <w:tcPr>
            <w:tcW w:w="1330" w:type="dxa"/>
            <w:vAlign w:val="bottom"/>
          </w:tcPr>
          <w:p w14:paraId="639F09EB" w14:textId="3B50C3FB" w:rsidR="002F3A2D" w:rsidRDefault="002F3A2D" w:rsidP="002F3A2D">
            <w:pPr>
              <w:jc w:val="center"/>
              <w:rPr>
                <w:sz w:val="24"/>
                <w:szCs w:val="24"/>
              </w:rPr>
            </w:pPr>
            <w:r>
              <w:rPr>
                <w:rFonts w:ascii="Calibri" w:hAnsi="Calibri" w:cs="Calibri"/>
                <w:color w:val="000000"/>
              </w:rPr>
              <w:t>9%</w:t>
            </w:r>
          </w:p>
        </w:tc>
        <w:tc>
          <w:tcPr>
            <w:tcW w:w="1330" w:type="dxa"/>
            <w:vAlign w:val="bottom"/>
          </w:tcPr>
          <w:p w14:paraId="674C5BAE" w14:textId="283C5B90" w:rsidR="002F3A2D" w:rsidRDefault="002F3A2D" w:rsidP="002F3A2D">
            <w:pPr>
              <w:jc w:val="center"/>
              <w:rPr>
                <w:sz w:val="24"/>
                <w:szCs w:val="24"/>
              </w:rPr>
            </w:pPr>
            <w:r>
              <w:rPr>
                <w:rFonts w:ascii="Calibri" w:hAnsi="Calibri" w:cs="Calibri"/>
                <w:color w:val="000000"/>
              </w:rPr>
              <w:t>9%</w:t>
            </w:r>
          </w:p>
        </w:tc>
        <w:tc>
          <w:tcPr>
            <w:tcW w:w="1330" w:type="dxa"/>
            <w:vAlign w:val="bottom"/>
          </w:tcPr>
          <w:p w14:paraId="014CDA40" w14:textId="2E91652D" w:rsidR="002F3A2D" w:rsidRDefault="002F3A2D" w:rsidP="002F3A2D">
            <w:pPr>
              <w:jc w:val="center"/>
              <w:rPr>
                <w:rFonts w:ascii="Calibri" w:hAnsi="Calibri" w:cs="Calibri"/>
                <w:color w:val="000000"/>
              </w:rPr>
            </w:pPr>
            <w:r>
              <w:rPr>
                <w:rFonts w:ascii="Calibri" w:hAnsi="Calibri" w:cs="Calibri"/>
                <w:color w:val="000000"/>
              </w:rPr>
              <w:t>9%</w:t>
            </w:r>
          </w:p>
        </w:tc>
      </w:tr>
      <w:tr w:rsidR="002F3A2D" w14:paraId="66DC6D31" w14:textId="4A6BFEE4" w:rsidTr="00B45BB4">
        <w:tc>
          <w:tcPr>
            <w:tcW w:w="2972" w:type="dxa"/>
            <w:vAlign w:val="bottom"/>
          </w:tcPr>
          <w:p w14:paraId="1EC84D4B" w14:textId="7FFCFA41" w:rsidR="002F3A2D" w:rsidRDefault="002F3A2D" w:rsidP="002F3A2D">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direct grazing</w:t>
            </w:r>
          </w:p>
        </w:tc>
        <w:tc>
          <w:tcPr>
            <w:tcW w:w="1329" w:type="dxa"/>
            <w:vAlign w:val="bottom"/>
          </w:tcPr>
          <w:p w14:paraId="0549F99C" w14:textId="1A8A3E7C" w:rsidR="002F3A2D" w:rsidRDefault="002F3A2D" w:rsidP="002F3A2D">
            <w:pPr>
              <w:jc w:val="center"/>
              <w:rPr>
                <w:sz w:val="24"/>
                <w:szCs w:val="24"/>
              </w:rPr>
            </w:pPr>
            <w:r>
              <w:rPr>
                <w:rFonts w:ascii="Calibri" w:hAnsi="Calibri" w:cs="Calibri"/>
                <w:color w:val="000000"/>
              </w:rPr>
              <w:t>3%</w:t>
            </w:r>
          </w:p>
        </w:tc>
        <w:tc>
          <w:tcPr>
            <w:tcW w:w="1330" w:type="dxa"/>
            <w:vAlign w:val="bottom"/>
          </w:tcPr>
          <w:p w14:paraId="01F99477" w14:textId="45C8F676" w:rsidR="002F3A2D" w:rsidRDefault="002F3A2D" w:rsidP="002F3A2D">
            <w:pPr>
              <w:jc w:val="center"/>
              <w:rPr>
                <w:sz w:val="24"/>
                <w:szCs w:val="24"/>
              </w:rPr>
            </w:pPr>
            <w:r>
              <w:rPr>
                <w:rFonts w:ascii="Calibri" w:hAnsi="Calibri" w:cs="Calibri"/>
                <w:color w:val="000000"/>
              </w:rPr>
              <w:t>3%</w:t>
            </w:r>
          </w:p>
        </w:tc>
        <w:tc>
          <w:tcPr>
            <w:tcW w:w="1330" w:type="dxa"/>
            <w:vAlign w:val="bottom"/>
          </w:tcPr>
          <w:p w14:paraId="5EC154F2" w14:textId="2D0ABFA1" w:rsidR="002F3A2D" w:rsidRDefault="002F3A2D" w:rsidP="002F3A2D">
            <w:pPr>
              <w:jc w:val="center"/>
              <w:rPr>
                <w:sz w:val="24"/>
                <w:szCs w:val="24"/>
              </w:rPr>
            </w:pPr>
            <w:r>
              <w:rPr>
                <w:rFonts w:ascii="Calibri" w:hAnsi="Calibri" w:cs="Calibri"/>
                <w:color w:val="000000"/>
              </w:rPr>
              <w:t>3%</w:t>
            </w:r>
          </w:p>
        </w:tc>
        <w:tc>
          <w:tcPr>
            <w:tcW w:w="1330" w:type="dxa"/>
            <w:vAlign w:val="bottom"/>
          </w:tcPr>
          <w:p w14:paraId="39E4BF34" w14:textId="409322A6" w:rsidR="002F3A2D" w:rsidRDefault="002F3A2D" w:rsidP="002F3A2D">
            <w:pPr>
              <w:jc w:val="center"/>
              <w:rPr>
                <w:sz w:val="24"/>
                <w:szCs w:val="24"/>
              </w:rPr>
            </w:pPr>
            <w:r>
              <w:rPr>
                <w:rFonts w:ascii="Calibri" w:hAnsi="Calibri" w:cs="Calibri"/>
                <w:color w:val="000000"/>
              </w:rPr>
              <w:t>3%</w:t>
            </w:r>
          </w:p>
        </w:tc>
        <w:tc>
          <w:tcPr>
            <w:tcW w:w="1329" w:type="dxa"/>
            <w:vAlign w:val="bottom"/>
          </w:tcPr>
          <w:p w14:paraId="1787FEF7" w14:textId="401462DE" w:rsidR="002F3A2D" w:rsidRDefault="002F3A2D" w:rsidP="002F3A2D">
            <w:pPr>
              <w:jc w:val="center"/>
              <w:rPr>
                <w:sz w:val="24"/>
                <w:szCs w:val="24"/>
              </w:rPr>
            </w:pPr>
            <w:r>
              <w:rPr>
                <w:rFonts w:ascii="Calibri" w:hAnsi="Calibri" w:cs="Calibri"/>
                <w:color w:val="000000"/>
              </w:rPr>
              <w:t>4%</w:t>
            </w:r>
          </w:p>
        </w:tc>
        <w:tc>
          <w:tcPr>
            <w:tcW w:w="1330" w:type="dxa"/>
            <w:vAlign w:val="bottom"/>
          </w:tcPr>
          <w:p w14:paraId="574D11BC" w14:textId="4DD4C366" w:rsidR="002F3A2D" w:rsidRDefault="002F3A2D" w:rsidP="002F3A2D">
            <w:pPr>
              <w:jc w:val="center"/>
              <w:rPr>
                <w:sz w:val="24"/>
                <w:szCs w:val="24"/>
              </w:rPr>
            </w:pPr>
            <w:r>
              <w:rPr>
                <w:rFonts w:ascii="Calibri" w:hAnsi="Calibri" w:cs="Calibri"/>
                <w:color w:val="000000"/>
              </w:rPr>
              <w:t>3%</w:t>
            </w:r>
          </w:p>
        </w:tc>
        <w:tc>
          <w:tcPr>
            <w:tcW w:w="1330" w:type="dxa"/>
            <w:vAlign w:val="bottom"/>
          </w:tcPr>
          <w:p w14:paraId="42AE487E" w14:textId="51DE90AD" w:rsidR="002F3A2D" w:rsidRDefault="002F3A2D" w:rsidP="002F3A2D">
            <w:pPr>
              <w:jc w:val="center"/>
              <w:rPr>
                <w:sz w:val="24"/>
                <w:szCs w:val="24"/>
              </w:rPr>
            </w:pPr>
            <w:r>
              <w:rPr>
                <w:rFonts w:ascii="Calibri" w:hAnsi="Calibri" w:cs="Calibri"/>
                <w:color w:val="000000"/>
              </w:rPr>
              <w:t>4%</w:t>
            </w:r>
          </w:p>
        </w:tc>
        <w:tc>
          <w:tcPr>
            <w:tcW w:w="1330" w:type="dxa"/>
            <w:vAlign w:val="bottom"/>
          </w:tcPr>
          <w:p w14:paraId="331FD288" w14:textId="4439D262" w:rsidR="002F3A2D" w:rsidRDefault="002F3A2D" w:rsidP="002F3A2D">
            <w:pPr>
              <w:jc w:val="center"/>
              <w:rPr>
                <w:sz w:val="24"/>
                <w:szCs w:val="24"/>
              </w:rPr>
            </w:pPr>
            <w:r>
              <w:rPr>
                <w:rFonts w:ascii="Calibri" w:hAnsi="Calibri" w:cs="Calibri"/>
                <w:color w:val="000000"/>
              </w:rPr>
              <w:t>3%</w:t>
            </w:r>
          </w:p>
        </w:tc>
        <w:tc>
          <w:tcPr>
            <w:tcW w:w="1330" w:type="dxa"/>
            <w:vAlign w:val="bottom"/>
          </w:tcPr>
          <w:p w14:paraId="2C1E542F" w14:textId="7948C859" w:rsidR="002F3A2D" w:rsidRDefault="002F3A2D" w:rsidP="002F3A2D">
            <w:pPr>
              <w:jc w:val="center"/>
              <w:rPr>
                <w:rFonts w:ascii="Calibri" w:hAnsi="Calibri" w:cs="Calibri"/>
                <w:color w:val="000000"/>
              </w:rPr>
            </w:pPr>
            <w:r>
              <w:rPr>
                <w:rFonts w:ascii="Calibri" w:hAnsi="Calibri" w:cs="Calibri"/>
                <w:color w:val="000000"/>
              </w:rPr>
              <w:t>3%</w:t>
            </w:r>
          </w:p>
        </w:tc>
      </w:tr>
      <w:tr w:rsidR="002F3A2D" w14:paraId="4CDF6D77" w14:textId="0EE712B2" w:rsidTr="00B45BB4">
        <w:tc>
          <w:tcPr>
            <w:tcW w:w="2972" w:type="dxa"/>
            <w:vAlign w:val="bottom"/>
          </w:tcPr>
          <w:p w14:paraId="3155DD13" w14:textId="19EE7F44" w:rsidR="002F3A2D" w:rsidRDefault="002F3A2D" w:rsidP="002F3A2D">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Manure storage &amp; spread</w:t>
            </w:r>
          </w:p>
        </w:tc>
        <w:tc>
          <w:tcPr>
            <w:tcW w:w="1329" w:type="dxa"/>
            <w:vAlign w:val="bottom"/>
          </w:tcPr>
          <w:p w14:paraId="460EE770" w14:textId="09B6C5EF" w:rsidR="002F3A2D" w:rsidRDefault="002F3A2D" w:rsidP="002F3A2D">
            <w:pPr>
              <w:jc w:val="center"/>
              <w:rPr>
                <w:sz w:val="24"/>
                <w:szCs w:val="24"/>
              </w:rPr>
            </w:pPr>
            <w:r>
              <w:rPr>
                <w:rFonts w:ascii="Calibri" w:hAnsi="Calibri" w:cs="Calibri"/>
                <w:color w:val="000000"/>
              </w:rPr>
              <w:t>1%</w:t>
            </w:r>
          </w:p>
        </w:tc>
        <w:tc>
          <w:tcPr>
            <w:tcW w:w="1330" w:type="dxa"/>
            <w:vAlign w:val="bottom"/>
          </w:tcPr>
          <w:p w14:paraId="44D17CBE" w14:textId="380E95FE" w:rsidR="002F3A2D" w:rsidRDefault="002F3A2D" w:rsidP="002F3A2D">
            <w:pPr>
              <w:jc w:val="center"/>
              <w:rPr>
                <w:sz w:val="24"/>
                <w:szCs w:val="24"/>
              </w:rPr>
            </w:pPr>
            <w:r>
              <w:rPr>
                <w:rFonts w:ascii="Calibri" w:hAnsi="Calibri" w:cs="Calibri"/>
                <w:color w:val="000000"/>
              </w:rPr>
              <w:t>1%</w:t>
            </w:r>
          </w:p>
        </w:tc>
        <w:tc>
          <w:tcPr>
            <w:tcW w:w="1330" w:type="dxa"/>
            <w:vAlign w:val="bottom"/>
          </w:tcPr>
          <w:p w14:paraId="33AB62AF" w14:textId="7DFF665C" w:rsidR="002F3A2D" w:rsidRDefault="002F3A2D" w:rsidP="002F3A2D">
            <w:pPr>
              <w:jc w:val="center"/>
              <w:rPr>
                <w:sz w:val="24"/>
                <w:szCs w:val="24"/>
              </w:rPr>
            </w:pPr>
            <w:r>
              <w:rPr>
                <w:rFonts w:ascii="Calibri" w:hAnsi="Calibri" w:cs="Calibri"/>
                <w:color w:val="000000"/>
              </w:rPr>
              <w:t>1%</w:t>
            </w:r>
          </w:p>
        </w:tc>
        <w:tc>
          <w:tcPr>
            <w:tcW w:w="1330" w:type="dxa"/>
            <w:vAlign w:val="bottom"/>
          </w:tcPr>
          <w:p w14:paraId="50F5AF5C" w14:textId="0162FFB5" w:rsidR="002F3A2D" w:rsidRDefault="002F3A2D" w:rsidP="002F3A2D">
            <w:pPr>
              <w:jc w:val="center"/>
              <w:rPr>
                <w:sz w:val="24"/>
                <w:szCs w:val="24"/>
              </w:rPr>
            </w:pPr>
            <w:r>
              <w:rPr>
                <w:rFonts w:ascii="Calibri" w:hAnsi="Calibri" w:cs="Calibri"/>
                <w:color w:val="000000"/>
              </w:rPr>
              <w:t>1%</w:t>
            </w:r>
          </w:p>
        </w:tc>
        <w:tc>
          <w:tcPr>
            <w:tcW w:w="1329" w:type="dxa"/>
            <w:vAlign w:val="bottom"/>
          </w:tcPr>
          <w:p w14:paraId="7C5549D0" w14:textId="4EAEB4AF" w:rsidR="002F3A2D" w:rsidRDefault="002F3A2D" w:rsidP="002F3A2D">
            <w:pPr>
              <w:jc w:val="center"/>
              <w:rPr>
                <w:sz w:val="24"/>
                <w:szCs w:val="24"/>
              </w:rPr>
            </w:pPr>
            <w:r>
              <w:rPr>
                <w:rFonts w:ascii="Calibri" w:hAnsi="Calibri" w:cs="Calibri"/>
                <w:color w:val="000000"/>
              </w:rPr>
              <w:t>1%</w:t>
            </w:r>
          </w:p>
        </w:tc>
        <w:tc>
          <w:tcPr>
            <w:tcW w:w="1330" w:type="dxa"/>
            <w:vAlign w:val="bottom"/>
          </w:tcPr>
          <w:p w14:paraId="6EFDB841" w14:textId="567189AD" w:rsidR="002F3A2D" w:rsidRDefault="002F3A2D" w:rsidP="002F3A2D">
            <w:pPr>
              <w:jc w:val="center"/>
              <w:rPr>
                <w:sz w:val="24"/>
                <w:szCs w:val="24"/>
              </w:rPr>
            </w:pPr>
            <w:r>
              <w:rPr>
                <w:rFonts w:ascii="Calibri" w:hAnsi="Calibri" w:cs="Calibri"/>
                <w:color w:val="000000"/>
              </w:rPr>
              <w:t>1%</w:t>
            </w:r>
          </w:p>
        </w:tc>
        <w:tc>
          <w:tcPr>
            <w:tcW w:w="1330" w:type="dxa"/>
            <w:vAlign w:val="bottom"/>
          </w:tcPr>
          <w:p w14:paraId="16929405" w14:textId="20F93B7A" w:rsidR="002F3A2D" w:rsidRDefault="002F3A2D" w:rsidP="002F3A2D">
            <w:pPr>
              <w:jc w:val="center"/>
              <w:rPr>
                <w:sz w:val="24"/>
                <w:szCs w:val="24"/>
              </w:rPr>
            </w:pPr>
            <w:r>
              <w:rPr>
                <w:rFonts w:ascii="Calibri" w:hAnsi="Calibri" w:cs="Calibri"/>
                <w:color w:val="000000"/>
              </w:rPr>
              <w:t>1%</w:t>
            </w:r>
          </w:p>
        </w:tc>
        <w:tc>
          <w:tcPr>
            <w:tcW w:w="1330" w:type="dxa"/>
            <w:vAlign w:val="bottom"/>
          </w:tcPr>
          <w:p w14:paraId="104547C8" w14:textId="77FE2501" w:rsidR="002F3A2D" w:rsidRDefault="002F3A2D" w:rsidP="002F3A2D">
            <w:pPr>
              <w:jc w:val="center"/>
              <w:rPr>
                <w:sz w:val="24"/>
                <w:szCs w:val="24"/>
              </w:rPr>
            </w:pPr>
            <w:r>
              <w:rPr>
                <w:rFonts w:ascii="Calibri" w:hAnsi="Calibri" w:cs="Calibri"/>
                <w:color w:val="000000"/>
              </w:rPr>
              <w:t>1%</w:t>
            </w:r>
          </w:p>
        </w:tc>
        <w:tc>
          <w:tcPr>
            <w:tcW w:w="1330" w:type="dxa"/>
            <w:vAlign w:val="bottom"/>
          </w:tcPr>
          <w:p w14:paraId="51C4E92A" w14:textId="6BDE7E63" w:rsidR="002F3A2D" w:rsidRDefault="002F3A2D" w:rsidP="002F3A2D">
            <w:pPr>
              <w:jc w:val="center"/>
              <w:rPr>
                <w:rFonts w:ascii="Calibri" w:hAnsi="Calibri" w:cs="Calibri"/>
                <w:color w:val="000000"/>
              </w:rPr>
            </w:pPr>
            <w:r>
              <w:rPr>
                <w:rFonts w:ascii="Calibri" w:hAnsi="Calibri" w:cs="Calibri"/>
                <w:color w:val="000000"/>
              </w:rPr>
              <w:t>1%</w:t>
            </w:r>
          </w:p>
        </w:tc>
      </w:tr>
      <w:tr w:rsidR="002F3A2D" w14:paraId="4BB093FD" w14:textId="46BDDBAB" w:rsidTr="00B45BB4">
        <w:tc>
          <w:tcPr>
            <w:tcW w:w="2972" w:type="dxa"/>
            <w:vAlign w:val="bottom"/>
          </w:tcPr>
          <w:p w14:paraId="327755B5" w14:textId="0A52551A" w:rsidR="002F3A2D" w:rsidRDefault="002F3A2D" w:rsidP="002F3A2D">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Indirect N waste</w:t>
            </w:r>
          </w:p>
        </w:tc>
        <w:tc>
          <w:tcPr>
            <w:tcW w:w="1329" w:type="dxa"/>
            <w:vAlign w:val="bottom"/>
          </w:tcPr>
          <w:p w14:paraId="271FD4AD" w14:textId="0B467F68" w:rsidR="002F3A2D" w:rsidRDefault="002F3A2D" w:rsidP="002F3A2D">
            <w:pPr>
              <w:jc w:val="center"/>
              <w:rPr>
                <w:sz w:val="24"/>
                <w:szCs w:val="24"/>
              </w:rPr>
            </w:pPr>
            <w:r>
              <w:rPr>
                <w:rFonts w:ascii="Calibri" w:hAnsi="Calibri" w:cs="Calibri"/>
                <w:color w:val="000000"/>
              </w:rPr>
              <w:t>2%</w:t>
            </w:r>
          </w:p>
        </w:tc>
        <w:tc>
          <w:tcPr>
            <w:tcW w:w="1330" w:type="dxa"/>
            <w:vAlign w:val="bottom"/>
          </w:tcPr>
          <w:p w14:paraId="0B2EB51C" w14:textId="51217130" w:rsidR="002F3A2D" w:rsidRDefault="002F3A2D" w:rsidP="002F3A2D">
            <w:pPr>
              <w:jc w:val="center"/>
              <w:rPr>
                <w:sz w:val="24"/>
                <w:szCs w:val="24"/>
              </w:rPr>
            </w:pPr>
            <w:r>
              <w:rPr>
                <w:rFonts w:ascii="Calibri" w:hAnsi="Calibri" w:cs="Calibri"/>
                <w:color w:val="000000"/>
              </w:rPr>
              <w:t>2%</w:t>
            </w:r>
          </w:p>
        </w:tc>
        <w:tc>
          <w:tcPr>
            <w:tcW w:w="1330" w:type="dxa"/>
            <w:vAlign w:val="bottom"/>
          </w:tcPr>
          <w:p w14:paraId="19E6B8DC" w14:textId="1DD58BC9" w:rsidR="002F3A2D" w:rsidRDefault="002F3A2D" w:rsidP="002F3A2D">
            <w:pPr>
              <w:jc w:val="center"/>
              <w:rPr>
                <w:sz w:val="24"/>
                <w:szCs w:val="24"/>
              </w:rPr>
            </w:pPr>
            <w:r>
              <w:rPr>
                <w:rFonts w:ascii="Calibri" w:hAnsi="Calibri" w:cs="Calibri"/>
                <w:color w:val="000000"/>
              </w:rPr>
              <w:t>2%</w:t>
            </w:r>
          </w:p>
        </w:tc>
        <w:tc>
          <w:tcPr>
            <w:tcW w:w="1330" w:type="dxa"/>
            <w:vAlign w:val="bottom"/>
          </w:tcPr>
          <w:p w14:paraId="434E808D" w14:textId="218A3FA0" w:rsidR="002F3A2D" w:rsidRDefault="002F3A2D" w:rsidP="002F3A2D">
            <w:pPr>
              <w:jc w:val="center"/>
              <w:rPr>
                <w:sz w:val="24"/>
                <w:szCs w:val="24"/>
              </w:rPr>
            </w:pPr>
            <w:r>
              <w:rPr>
                <w:rFonts w:ascii="Calibri" w:hAnsi="Calibri" w:cs="Calibri"/>
                <w:color w:val="000000"/>
              </w:rPr>
              <w:t>2%</w:t>
            </w:r>
          </w:p>
        </w:tc>
        <w:tc>
          <w:tcPr>
            <w:tcW w:w="1329" w:type="dxa"/>
            <w:vAlign w:val="bottom"/>
          </w:tcPr>
          <w:p w14:paraId="35A676A4" w14:textId="52B9F885" w:rsidR="002F3A2D" w:rsidRDefault="002F3A2D" w:rsidP="002F3A2D">
            <w:pPr>
              <w:jc w:val="center"/>
              <w:rPr>
                <w:sz w:val="24"/>
                <w:szCs w:val="24"/>
              </w:rPr>
            </w:pPr>
            <w:r>
              <w:rPr>
                <w:rFonts w:ascii="Calibri" w:hAnsi="Calibri" w:cs="Calibri"/>
                <w:color w:val="000000"/>
              </w:rPr>
              <w:t>2%</w:t>
            </w:r>
          </w:p>
        </w:tc>
        <w:tc>
          <w:tcPr>
            <w:tcW w:w="1330" w:type="dxa"/>
            <w:vAlign w:val="bottom"/>
          </w:tcPr>
          <w:p w14:paraId="4E224E1D" w14:textId="1ABBDC3C" w:rsidR="002F3A2D" w:rsidRDefault="002F3A2D" w:rsidP="002F3A2D">
            <w:pPr>
              <w:jc w:val="center"/>
              <w:rPr>
                <w:sz w:val="24"/>
                <w:szCs w:val="24"/>
              </w:rPr>
            </w:pPr>
            <w:r>
              <w:rPr>
                <w:rFonts w:ascii="Calibri" w:hAnsi="Calibri" w:cs="Calibri"/>
                <w:color w:val="000000"/>
              </w:rPr>
              <w:t>2%</w:t>
            </w:r>
          </w:p>
        </w:tc>
        <w:tc>
          <w:tcPr>
            <w:tcW w:w="1330" w:type="dxa"/>
            <w:vAlign w:val="bottom"/>
          </w:tcPr>
          <w:p w14:paraId="151B94E4" w14:textId="7D0AB985" w:rsidR="002F3A2D" w:rsidRDefault="002F3A2D" w:rsidP="002F3A2D">
            <w:pPr>
              <w:jc w:val="center"/>
              <w:rPr>
                <w:sz w:val="24"/>
                <w:szCs w:val="24"/>
              </w:rPr>
            </w:pPr>
            <w:r>
              <w:rPr>
                <w:rFonts w:ascii="Calibri" w:hAnsi="Calibri" w:cs="Calibri"/>
                <w:color w:val="000000"/>
              </w:rPr>
              <w:t>2%</w:t>
            </w:r>
          </w:p>
        </w:tc>
        <w:tc>
          <w:tcPr>
            <w:tcW w:w="1330" w:type="dxa"/>
            <w:vAlign w:val="bottom"/>
          </w:tcPr>
          <w:p w14:paraId="5E2BA6F3" w14:textId="79658BE2" w:rsidR="002F3A2D" w:rsidRDefault="002F3A2D" w:rsidP="002F3A2D">
            <w:pPr>
              <w:jc w:val="center"/>
              <w:rPr>
                <w:sz w:val="24"/>
                <w:szCs w:val="24"/>
              </w:rPr>
            </w:pPr>
            <w:r>
              <w:rPr>
                <w:rFonts w:ascii="Calibri" w:hAnsi="Calibri" w:cs="Calibri"/>
                <w:color w:val="000000"/>
              </w:rPr>
              <w:t>2%</w:t>
            </w:r>
          </w:p>
        </w:tc>
        <w:tc>
          <w:tcPr>
            <w:tcW w:w="1330" w:type="dxa"/>
            <w:vAlign w:val="bottom"/>
          </w:tcPr>
          <w:p w14:paraId="7CA1024A" w14:textId="47B45D87" w:rsidR="002F3A2D" w:rsidRDefault="002F3A2D" w:rsidP="002F3A2D">
            <w:pPr>
              <w:jc w:val="center"/>
              <w:rPr>
                <w:rFonts w:ascii="Calibri" w:hAnsi="Calibri" w:cs="Calibri"/>
                <w:color w:val="000000"/>
              </w:rPr>
            </w:pPr>
            <w:r>
              <w:rPr>
                <w:rFonts w:ascii="Calibri" w:hAnsi="Calibri" w:cs="Calibri"/>
                <w:color w:val="000000"/>
              </w:rPr>
              <w:t>2%</w:t>
            </w:r>
          </w:p>
        </w:tc>
      </w:tr>
      <w:tr w:rsidR="002F3A2D" w14:paraId="4E10675B" w14:textId="598F963A" w:rsidTr="00B45BB4">
        <w:tc>
          <w:tcPr>
            <w:tcW w:w="2972" w:type="dxa"/>
            <w:vAlign w:val="bottom"/>
          </w:tcPr>
          <w:p w14:paraId="502A3756" w14:textId="7C129EEB" w:rsidR="002F3A2D" w:rsidRDefault="002F3A2D" w:rsidP="002F3A2D">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Direct N fertiliser</w:t>
            </w:r>
          </w:p>
        </w:tc>
        <w:tc>
          <w:tcPr>
            <w:tcW w:w="1329" w:type="dxa"/>
            <w:vAlign w:val="bottom"/>
          </w:tcPr>
          <w:p w14:paraId="7E99C3B1" w14:textId="395F6288" w:rsidR="002F3A2D" w:rsidRDefault="002F3A2D" w:rsidP="002F3A2D">
            <w:pPr>
              <w:jc w:val="center"/>
              <w:rPr>
                <w:sz w:val="24"/>
                <w:szCs w:val="24"/>
              </w:rPr>
            </w:pPr>
            <w:r>
              <w:rPr>
                <w:rFonts w:ascii="Calibri" w:hAnsi="Calibri" w:cs="Calibri"/>
                <w:color w:val="000000"/>
              </w:rPr>
              <w:t>3%</w:t>
            </w:r>
          </w:p>
        </w:tc>
        <w:tc>
          <w:tcPr>
            <w:tcW w:w="1330" w:type="dxa"/>
            <w:vAlign w:val="bottom"/>
          </w:tcPr>
          <w:p w14:paraId="6BF55B41" w14:textId="775FC3A1" w:rsidR="002F3A2D" w:rsidRDefault="002F3A2D" w:rsidP="002F3A2D">
            <w:pPr>
              <w:jc w:val="center"/>
              <w:rPr>
                <w:sz w:val="24"/>
                <w:szCs w:val="24"/>
              </w:rPr>
            </w:pPr>
            <w:r>
              <w:rPr>
                <w:rFonts w:ascii="Calibri" w:hAnsi="Calibri" w:cs="Calibri"/>
                <w:color w:val="000000"/>
              </w:rPr>
              <w:t>4%</w:t>
            </w:r>
          </w:p>
        </w:tc>
        <w:tc>
          <w:tcPr>
            <w:tcW w:w="1330" w:type="dxa"/>
            <w:vAlign w:val="bottom"/>
          </w:tcPr>
          <w:p w14:paraId="3EBAB37E" w14:textId="6268EB9E" w:rsidR="002F3A2D" w:rsidRDefault="002F3A2D" w:rsidP="002F3A2D">
            <w:pPr>
              <w:jc w:val="center"/>
              <w:rPr>
                <w:sz w:val="24"/>
                <w:szCs w:val="24"/>
              </w:rPr>
            </w:pPr>
            <w:r>
              <w:rPr>
                <w:rFonts w:ascii="Calibri" w:hAnsi="Calibri" w:cs="Calibri"/>
                <w:color w:val="000000"/>
              </w:rPr>
              <w:t>3%</w:t>
            </w:r>
          </w:p>
        </w:tc>
        <w:tc>
          <w:tcPr>
            <w:tcW w:w="1330" w:type="dxa"/>
            <w:vAlign w:val="bottom"/>
          </w:tcPr>
          <w:p w14:paraId="1B84AB63" w14:textId="759A3D6B" w:rsidR="002F3A2D" w:rsidRDefault="002F3A2D" w:rsidP="002F3A2D">
            <w:pPr>
              <w:jc w:val="center"/>
              <w:rPr>
                <w:sz w:val="24"/>
                <w:szCs w:val="24"/>
              </w:rPr>
            </w:pPr>
            <w:r>
              <w:rPr>
                <w:rFonts w:ascii="Calibri" w:hAnsi="Calibri" w:cs="Calibri"/>
                <w:color w:val="000000"/>
              </w:rPr>
              <w:t>3%</w:t>
            </w:r>
          </w:p>
        </w:tc>
        <w:tc>
          <w:tcPr>
            <w:tcW w:w="1329" w:type="dxa"/>
            <w:vAlign w:val="bottom"/>
          </w:tcPr>
          <w:p w14:paraId="4BAFBACC" w14:textId="7C934EF5" w:rsidR="002F3A2D" w:rsidRDefault="002F3A2D" w:rsidP="002F3A2D">
            <w:pPr>
              <w:jc w:val="center"/>
              <w:rPr>
                <w:sz w:val="24"/>
                <w:szCs w:val="24"/>
              </w:rPr>
            </w:pPr>
            <w:r>
              <w:rPr>
                <w:rFonts w:ascii="Calibri" w:hAnsi="Calibri" w:cs="Calibri"/>
                <w:color w:val="000000"/>
              </w:rPr>
              <w:t>4%</w:t>
            </w:r>
          </w:p>
        </w:tc>
        <w:tc>
          <w:tcPr>
            <w:tcW w:w="1330" w:type="dxa"/>
            <w:vAlign w:val="bottom"/>
          </w:tcPr>
          <w:p w14:paraId="2F9E090A" w14:textId="1C5940F0" w:rsidR="002F3A2D" w:rsidRDefault="002F3A2D" w:rsidP="002F3A2D">
            <w:pPr>
              <w:jc w:val="center"/>
              <w:rPr>
                <w:sz w:val="24"/>
                <w:szCs w:val="24"/>
              </w:rPr>
            </w:pPr>
            <w:r>
              <w:rPr>
                <w:rFonts w:ascii="Calibri" w:hAnsi="Calibri" w:cs="Calibri"/>
                <w:color w:val="000000"/>
              </w:rPr>
              <w:t>3%</w:t>
            </w:r>
          </w:p>
        </w:tc>
        <w:tc>
          <w:tcPr>
            <w:tcW w:w="1330" w:type="dxa"/>
            <w:vAlign w:val="bottom"/>
          </w:tcPr>
          <w:p w14:paraId="5CCD91CF" w14:textId="1B326FA1" w:rsidR="002F3A2D" w:rsidRDefault="002F3A2D" w:rsidP="002F3A2D">
            <w:pPr>
              <w:jc w:val="center"/>
              <w:rPr>
                <w:sz w:val="24"/>
                <w:szCs w:val="24"/>
              </w:rPr>
            </w:pPr>
            <w:r>
              <w:rPr>
                <w:rFonts w:ascii="Calibri" w:hAnsi="Calibri" w:cs="Calibri"/>
                <w:color w:val="000000"/>
              </w:rPr>
              <w:t>4%</w:t>
            </w:r>
          </w:p>
        </w:tc>
        <w:tc>
          <w:tcPr>
            <w:tcW w:w="1330" w:type="dxa"/>
            <w:vAlign w:val="bottom"/>
          </w:tcPr>
          <w:p w14:paraId="555F8F7C" w14:textId="5B1F4D79" w:rsidR="002F3A2D" w:rsidRDefault="002F3A2D" w:rsidP="002F3A2D">
            <w:pPr>
              <w:jc w:val="center"/>
              <w:rPr>
                <w:sz w:val="24"/>
                <w:szCs w:val="24"/>
              </w:rPr>
            </w:pPr>
            <w:r>
              <w:rPr>
                <w:rFonts w:ascii="Calibri" w:hAnsi="Calibri" w:cs="Calibri"/>
                <w:color w:val="000000"/>
              </w:rPr>
              <w:t>3%</w:t>
            </w:r>
          </w:p>
        </w:tc>
        <w:tc>
          <w:tcPr>
            <w:tcW w:w="1330" w:type="dxa"/>
            <w:vAlign w:val="bottom"/>
          </w:tcPr>
          <w:p w14:paraId="74832395" w14:textId="5AEBFC4A" w:rsidR="002F3A2D" w:rsidRDefault="002F3A2D" w:rsidP="002F3A2D">
            <w:pPr>
              <w:jc w:val="center"/>
              <w:rPr>
                <w:rFonts w:ascii="Calibri" w:hAnsi="Calibri" w:cs="Calibri"/>
                <w:color w:val="000000"/>
              </w:rPr>
            </w:pPr>
            <w:r>
              <w:rPr>
                <w:rFonts w:ascii="Calibri" w:hAnsi="Calibri" w:cs="Calibri"/>
                <w:color w:val="000000"/>
              </w:rPr>
              <w:t>3%</w:t>
            </w:r>
          </w:p>
        </w:tc>
      </w:tr>
      <w:tr w:rsidR="002F3A2D" w14:paraId="749155AF" w14:textId="55E2B813" w:rsidTr="00B45BB4">
        <w:tc>
          <w:tcPr>
            <w:tcW w:w="2972" w:type="dxa"/>
            <w:vAlign w:val="bottom"/>
          </w:tcPr>
          <w:p w14:paraId="6659E9B2" w14:textId="32631DF7" w:rsidR="002F3A2D" w:rsidRDefault="002F3A2D" w:rsidP="002F3A2D">
            <w:pPr>
              <w:rPr>
                <w:sz w:val="24"/>
                <w:szCs w:val="24"/>
              </w:rPr>
            </w:pPr>
            <w:r>
              <w:rPr>
                <w:rFonts w:ascii="Calibri" w:hAnsi="Calibri" w:cs="Calibri"/>
                <w:color w:val="000000"/>
              </w:rPr>
              <w:t>N</w:t>
            </w:r>
            <w:r w:rsidRPr="002F3A2D">
              <w:rPr>
                <w:rFonts w:ascii="Calibri" w:hAnsi="Calibri" w:cs="Calibri"/>
                <w:color w:val="000000"/>
                <w:vertAlign w:val="subscript"/>
              </w:rPr>
              <w:t>2</w:t>
            </w:r>
            <w:r>
              <w:rPr>
                <w:rFonts w:ascii="Calibri" w:hAnsi="Calibri" w:cs="Calibri"/>
                <w:color w:val="000000"/>
              </w:rPr>
              <w:t>O Indirect N fertiliser</w:t>
            </w:r>
          </w:p>
        </w:tc>
        <w:tc>
          <w:tcPr>
            <w:tcW w:w="1329" w:type="dxa"/>
            <w:vAlign w:val="bottom"/>
          </w:tcPr>
          <w:p w14:paraId="22673120" w14:textId="2087BA1D" w:rsidR="002F3A2D" w:rsidRDefault="002F3A2D" w:rsidP="002F3A2D">
            <w:pPr>
              <w:jc w:val="center"/>
              <w:rPr>
                <w:sz w:val="24"/>
                <w:szCs w:val="24"/>
              </w:rPr>
            </w:pPr>
            <w:r>
              <w:rPr>
                <w:rFonts w:ascii="Calibri" w:hAnsi="Calibri" w:cs="Calibri"/>
                <w:color w:val="000000"/>
              </w:rPr>
              <w:t>1%</w:t>
            </w:r>
          </w:p>
        </w:tc>
        <w:tc>
          <w:tcPr>
            <w:tcW w:w="1330" w:type="dxa"/>
            <w:vAlign w:val="bottom"/>
          </w:tcPr>
          <w:p w14:paraId="6BD45BD5" w14:textId="00C95E26" w:rsidR="002F3A2D" w:rsidRDefault="002F3A2D" w:rsidP="002F3A2D">
            <w:pPr>
              <w:jc w:val="center"/>
              <w:rPr>
                <w:sz w:val="24"/>
                <w:szCs w:val="24"/>
              </w:rPr>
            </w:pPr>
            <w:r>
              <w:rPr>
                <w:rFonts w:ascii="Calibri" w:hAnsi="Calibri" w:cs="Calibri"/>
                <w:color w:val="000000"/>
              </w:rPr>
              <w:t>1%</w:t>
            </w:r>
          </w:p>
        </w:tc>
        <w:tc>
          <w:tcPr>
            <w:tcW w:w="1330" w:type="dxa"/>
            <w:vAlign w:val="bottom"/>
          </w:tcPr>
          <w:p w14:paraId="4CD3F7F5" w14:textId="15DABF9E" w:rsidR="002F3A2D" w:rsidRDefault="002F3A2D" w:rsidP="002F3A2D">
            <w:pPr>
              <w:jc w:val="center"/>
              <w:rPr>
                <w:sz w:val="24"/>
                <w:szCs w:val="24"/>
              </w:rPr>
            </w:pPr>
            <w:r>
              <w:rPr>
                <w:rFonts w:ascii="Calibri" w:hAnsi="Calibri" w:cs="Calibri"/>
                <w:color w:val="000000"/>
              </w:rPr>
              <w:t>1%</w:t>
            </w:r>
          </w:p>
        </w:tc>
        <w:tc>
          <w:tcPr>
            <w:tcW w:w="1330" w:type="dxa"/>
            <w:vAlign w:val="bottom"/>
          </w:tcPr>
          <w:p w14:paraId="7ADC5C53" w14:textId="07E968B9" w:rsidR="002F3A2D" w:rsidRDefault="002F3A2D" w:rsidP="002F3A2D">
            <w:pPr>
              <w:jc w:val="center"/>
              <w:rPr>
                <w:sz w:val="24"/>
                <w:szCs w:val="24"/>
              </w:rPr>
            </w:pPr>
            <w:r>
              <w:rPr>
                <w:rFonts w:ascii="Calibri" w:hAnsi="Calibri" w:cs="Calibri"/>
                <w:color w:val="000000"/>
              </w:rPr>
              <w:t>1%</w:t>
            </w:r>
          </w:p>
        </w:tc>
        <w:tc>
          <w:tcPr>
            <w:tcW w:w="1329" w:type="dxa"/>
            <w:vAlign w:val="bottom"/>
          </w:tcPr>
          <w:p w14:paraId="72CED2B0" w14:textId="16930A26" w:rsidR="002F3A2D" w:rsidRDefault="002F3A2D" w:rsidP="002F3A2D">
            <w:pPr>
              <w:jc w:val="center"/>
              <w:rPr>
                <w:sz w:val="24"/>
                <w:szCs w:val="24"/>
              </w:rPr>
            </w:pPr>
            <w:r>
              <w:rPr>
                <w:rFonts w:ascii="Calibri" w:hAnsi="Calibri" w:cs="Calibri"/>
                <w:color w:val="000000"/>
              </w:rPr>
              <w:t>2%</w:t>
            </w:r>
          </w:p>
        </w:tc>
        <w:tc>
          <w:tcPr>
            <w:tcW w:w="1330" w:type="dxa"/>
            <w:vAlign w:val="bottom"/>
          </w:tcPr>
          <w:p w14:paraId="03759191" w14:textId="6B81D0D7" w:rsidR="002F3A2D" w:rsidRDefault="002F3A2D" w:rsidP="002F3A2D">
            <w:pPr>
              <w:jc w:val="center"/>
              <w:rPr>
                <w:sz w:val="24"/>
                <w:szCs w:val="24"/>
              </w:rPr>
            </w:pPr>
            <w:r>
              <w:rPr>
                <w:rFonts w:ascii="Calibri" w:hAnsi="Calibri" w:cs="Calibri"/>
                <w:color w:val="000000"/>
              </w:rPr>
              <w:t>2%</w:t>
            </w:r>
          </w:p>
        </w:tc>
        <w:tc>
          <w:tcPr>
            <w:tcW w:w="1330" w:type="dxa"/>
            <w:vAlign w:val="bottom"/>
          </w:tcPr>
          <w:p w14:paraId="505E233E" w14:textId="1EBFE28E" w:rsidR="002F3A2D" w:rsidRDefault="002F3A2D" w:rsidP="002F3A2D">
            <w:pPr>
              <w:jc w:val="center"/>
              <w:rPr>
                <w:sz w:val="24"/>
                <w:szCs w:val="24"/>
              </w:rPr>
            </w:pPr>
            <w:r>
              <w:rPr>
                <w:rFonts w:ascii="Calibri" w:hAnsi="Calibri" w:cs="Calibri"/>
                <w:color w:val="000000"/>
              </w:rPr>
              <w:t>1%</w:t>
            </w:r>
          </w:p>
        </w:tc>
        <w:tc>
          <w:tcPr>
            <w:tcW w:w="1330" w:type="dxa"/>
            <w:vAlign w:val="bottom"/>
          </w:tcPr>
          <w:p w14:paraId="467AEADF" w14:textId="6F624A84" w:rsidR="002F3A2D" w:rsidRDefault="002F3A2D" w:rsidP="002F3A2D">
            <w:pPr>
              <w:jc w:val="center"/>
              <w:rPr>
                <w:sz w:val="24"/>
                <w:szCs w:val="24"/>
              </w:rPr>
            </w:pPr>
            <w:r>
              <w:rPr>
                <w:rFonts w:ascii="Calibri" w:hAnsi="Calibri" w:cs="Calibri"/>
                <w:color w:val="000000"/>
              </w:rPr>
              <w:t>2%</w:t>
            </w:r>
          </w:p>
        </w:tc>
        <w:tc>
          <w:tcPr>
            <w:tcW w:w="1330" w:type="dxa"/>
            <w:vAlign w:val="bottom"/>
          </w:tcPr>
          <w:p w14:paraId="75BCA710" w14:textId="28D192A1" w:rsidR="002F3A2D" w:rsidRDefault="002F3A2D" w:rsidP="002F3A2D">
            <w:pPr>
              <w:jc w:val="center"/>
              <w:rPr>
                <w:rFonts w:ascii="Calibri" w:hAnsi="Calibri" w:cs="Calibri"/>
                <w:color w:val="000000"/>
              </w:rPr>
            </w:pPr>
            <w:r>
              <w:rPr>
                <w:rFonts w:ascii="Calibri" w:hAnsi="Calibri" w:cs="Calibri"/>
                <w:color w:val="000000"/>
              </w:rPr>
              <w:t>1%</w:t>
            </w:r>
          </w:p>
        </w:tc>
      </w:tr>
      <w:tr w:rsidR="002F3A2D" w14:paraId="4EED6FAB" w14:textId="1088CDF6" w:rsidTr="00B45BB4">
        <w:tc>
          <w:tcPr>
            <w:tcW w:w="2972" w:type="dxa"/>
            <w:vAlign w:val="bottom"/>
          </w:tcPr>
          <w:p w14:paraId="06911144" w14:textId="6C9864C7" w:rsidR="002F3A2D" w:rsidRDefault="002F3A2D" w:rsidP="002F3A2D">
            <w:pPr>
              <w:rPr>
                <w:sz w:val="24"/>
                <w:szCs w:val="24"/>
              </w:rPr>
            </w:pPr>
            <w:r>
              <w:rPr>
                <w:rFonts w:ascii="Calibri" w:hAnsi="Calibri" w:cs="Calibri"/>
                <w:color w:val="000000"/>
              </w:rPr>
              <w:t>Electricity</w:t>
            </w:r>
          </w:p>
        </w:tc>
        <w:tc>
          <w:tcPr>
            <w:tcW w:w="1329" w:type="dxa"/>
            <w:vAlign w:val="bottom"/>
          </w:tcPr>
          <w:p w14:paraId="06500665" w14:textId="268FAC7C" w:rsidR="002F3A2D" w:rsidRDefault="002F3A2D" w:rsidP="002F3A2D">
            <w:pPr>
              <w:jc w:val="center"/>
              <w:rPr>
                <w:sz w:val="24"/>
                <w:szCs w:val="24"/>
              </w:rPr>
            </w:pPr>
            <w:r>
              <w:rPr>
                <w:rFonts w:ascii="Calibri" w:hAnsi="Calibri" w:cs="Calibri"/>
                <w:color w:val="000000"/>
              </w:rPr>
              <w:t>4%</w:t>
            </w:r>
          </w:p>
        </w:tc>
        <w:tc>
          <w:tcPr>
            <w:tcW w:w="1330" w:type="dxa"/>
            <w:vAlign w:val="bottom"/>
          </w:tcPr>
          <w:p w14:paraId="4711F601" w14:textId="49FA77B1" w:rsidR="002F3A2D" w:rsidRDefault="002F3A2D" w:rsidP="002F3A2D">
            <w:pPr>
              <w:jc w:val="center"/>
              <w:rPr>
                <w:sz w:val="24"/>
                <w:szCs w:val="24"/>
              </w:rPr>
            </w:pPr>
            <w:r>
              <w:rPr>
                <w:rFonts w:ascii="Calibri" w:hAnsi="Calibri" w:cs="Calibri"/>
                <w:color w:val="000000"/>
              </w:rPr>
              <w:t>4%</w:t>
            </w:r>
          </w:p>
        </w:tc>
        <w:tc>
          <w:tcPr>
            <w:tcW w:w="1330" w:type="dxa"/>
            <w:vAlign w:val="bottom"/>
          </w:tcPr>
          <w:p w14:paraId="17176FBD" w14:textId="1A4D784D" w:rsidR="002F3A2D" w:rsidRDefault="002F3A2D" w:rsidP="002F3A2D">
            <w:pPr>
              <w:jc w:val="center"/>
              <w:rPr>
                <w:sz w:val="24"/>
                <w:szCs w:val="24"/>
              </w:rPr>
            </w:pPr>
            <w:r>
              <w:rPr>
                <w:rFonts w:ascii="Calibri" w:hAnsi="Calibri" w:cs="Calibri"/>
                <w:color w:val="000000"/>
              </w:rPr>
              <w:t>4%</w:t>
            </w:r>
          </w:p>
        </w:tc>
        <w:tc>
          <w:tcPr>
            <w:tcW w:w="1330" w:type="dxa"/>
            <w:vAlign w:val="bottom"/>
          </w:tcPr>
          <w:p w14:paraId="7926644C" w14:textId="7116F863" w:rsidR="002F3A2D" w:rsidRDefault="002F3A2D" w:rsidP="002F3A2D">
            <w:pPr>
              <w:jc w:val="center"/>
              <w:rPr>
                <w:sz w:val="24"/>
                <w:szCs w:val="24"/>
              </w:rPr>
            </w:pPr>
            <w:r>
              <w:rPr>
                <w:rFonts w:ascii="Calibri" w:hAnsi="Calibri" w:cs="Calibri"/>
                <w:color w:val="000000"/>
              </w:rPr>
              <w:t>3%</w:t>
            </w:r>
          </w:p>
        </w:tc>
        <w:tc>
          <w:tcPr>
            <w:tcW w:w="1329" w:type="dxa"/>
            <w:vAlign w:val="bottom"/>
          </w:tcPr>
          <w:p w14:paraId="50E2B21E" w14:textId="5E9333AD" w:rsidR="002F3A2D" w:rsidRDefault="002F3A2D" w:rsidP="002F3A2D">
            <w:pPr>
              <w:jc w:val="center"/>
              <w:rPr>
                <w:sz w:val="24"/>
                <w:szCs w:val="24"/>
              </w:rPr>
            </w:pPr>
            <w:r>
              <w:rPr>
                <w:rFonts w:ascii="Calibri" w:hAnsi="Calibri" w:cs="Calibri"/>
                <w:color w:val="000000"/>
              </w:rPr>
              <w:t>1%</w:t>
            </w:r>
          </w:p>
        </w:tc>
        <w:tc>
          <w:tcPr>
            <w:tcW w:w="1330" w:type="dxa"/>
            <w:vAlign w:val="bottom"/>
          </w:tcPr>
          <w:p w14:paraId="23D80224" w14:textId="3767AD41" w:rsidR="002F3A2D" w:rsidRDefault="002F3A2D" w:rsidP="002F3A2D">
            <w:pPr>
              <w:jc w:val="center"/>
              <w:rPr>
                <w:sz w:val="24"/>
                <w:szCs w:val="24"/>
              </w:rPr>
            </w:pPr>
            <w:r>
              <w:rPr>
                <w:rFonts w:ascii="Calibri" w:hAnsi="Calibri" w:cs="Calibri"/>
                <w:color w:val="000000"/>
              </w:rPr>
              <w:t>3%</w:t>
            </w:r>
          </w:p>
        </w:tc>
        <w:tc>
          <w:tcPr>
            <w:tcW w:w="1330" w:type="dxa"/>
            <w:vAlign w:val="bottom"/>
          </w:tcPr>
          <w:p w14:paraId="30D6DF5E" w14:textId="68955E10" w:rsidR="002F3A2D" w:rsidRDefault="002F3A2D" w:rsidP="002F3A2D">
            <w:pPr>
              <w:jc w:val="center"/>
              <w:rPr>
                <w:sz w:val="24"/>
                <w:szCs w:val="24"/>
              </w:rPr>
            </w:pPr>
            <w:r>
              <w:rPr>
                <w:rFonts w:ascii="Calibri" w:hAnsi="Calibri" w:cs="Calibri"/>
                <w:color w:val="000000"/>
              </w:rPr>
              <w:t>3%</w:t>
            </w:r>
          </w:p>
        </w:tc>
        <w:tc>
          <w:tcPr>
            <w:tcW w:w="1330" w:type="dxa"/>
            <w:vAlign w:val="bottom"/>
          </w:tcPr>
          <w:p w14:paraId="3E43ED25" w14:textId="3D4874B4" w:rsidR="002F3A2D" w:rsidRDefault="002F3A2D" w:rsidP="002F3A2D">
            <w:pPr>
              <w:jc w:val="center"/>
              <w:rPr>
                <w:sz w:val="24"/>
                <w:szCs w:val="24"/>
              </w:rPr>
            </w:pPr>
            <w:r>
              <w:rPr>
                <w:rFonts w:ascii="Calibri" w:hAnsi="Calibri" w:cs="Calibri"/>
                <w:color w:val="000000"/>
              </w:rPr>
              <w:t>5%</w:t>
            </w:r>
          </w:p>
        </w:tc>
        <w:tc>
          <w:tcPr>
            <w:tcW w:w="1330" w:type="dxa"/>
            <w:vAlign w:val="bottom"/>
          </w:tcPr>
          <w:p w14:paraId="6B52074B" w14:textId="1FB2017F" w:rsidR="002F3A2D" w:rsidRDefault="002F3A2D" w:rsidP="002F3A2D">
            <w:pPr>
              <w:jc w:val="center"/>
              <w:rPr>
                <w:rFonts w:ascii="Calibri" w:hAnsi="Calibri" w:cs="Calibri"/>
                <w:color w:val="000000"/>
              </w:rPr>
            </w:pPr>
            <w:r>
              <w:rPr>
                <w:rFonts w:ascii="Calibri" w:hAnsi="Calibri" w:cs="Calibri"/>
                <w:color w:val="000000"/>
              </w:rPr>
              <w:t>4%</w:t>
            </w:r>
          </w:p>
        </w:tc>
      </w:tr>
      <w:tr w:rsidR="002F3A2D" w14:paraId="418DA22C" w14:textId="535D85ED" w:rsidTr="00B45BB4">
        <w:tc>
          <w:tcPr>
            <w:tcW w:w="2972" w:type="dxa"/>
            <w:vAlign w:val="bottom"/>
          </w:tcPr>
          <w:p w14:paraId="05E1DB0D" w14:textId="3540B44D" w:rsidR="002F3A2D" w:rsidRDefault="002F3A2D" w:rsidP="002F3A2D">
            <w:pPr>
              <w:rPr>
                <w:sz w:val="24"/>
                <w:szCs w:val="24"/>
              </w:rPr>
            </w:pPr>
            <w:r>
              <w:rPr>
                <w:rFonts w:ascii="Calibri" w:hAnsi="Calibri" w:cs="Calibri"/>
                <w:color w:val="000000"/>
              </w:rPr>
              <w:t xml:space="preserve">Fuel </w:t>
            </w:r>
          </w:p>
        </w:tc>
        <w:tc>
          <w:tcPr>
            <w:tcW w:w="1329" w:type="dxa"/>
            <w:vAlign w:val="bottom"/>
          </w:tcPr>
          <w:p w14:paraId="449D32BA" w14:textId="3BC9E438" w:rsidR="002F3A2D" w:rsidRDefault="002F3A2D" w:rsidP="002F3A2D">
            <w:pPr>
              <w:jc w:val="center"/>
              <w:rPr>
                <w:sz w:val="24"/>
                <w:szCs w:val="24"/>
              </w:rPr>
            </w:pPr>
            <w:r>
              <w:rPr>
                <w:rFonts w:ascii="Calibri" w:hAnsi="Calibri" w:cs="Calibri"/>
                <w:color w:val="000000"/>
              </w:rPr>
              <w:t>2%</w:t>
            </w:r>
          </w:p>
        </w:tc>
        <w:tc>
          <w:tcPr>
            <w:tcW w:w="1330" w:type="dxa"/>
            <w:vAlign w:val="bottom"/>
          </w:tcPr>
          <w:p w14:paraId="5DAFDB77" w14:textId="340B246B" w:rsidR="002F3A2D" w:rsidRDefault="002F3A2D" w:rsidP="002F3A2D">
            <w:pPr>
              <w:jc w:val="center"/>
              <w:rPr>
                <w:sz w:val="24"/>
                <w:szCs w:val="24"/>
              </w:rPr>
            </w:pPr>
            <w:r>
              <w:rPr>
                <w:rFonts w:ascii="Calibri" w:hAnsi="Calibri" w:cs="Calibri"/>
                <w:color w:val="000000"/>
              </w:rPr>
              <w:t>2%</w:t>
            </w:r>
          </w:p>
        </w:tc>
        <w:tc>
          <w:tcPr>
            <w:tcW w:w="1330" w:type="dxa"/>
            <w:vAlign w:val="bottom"/>
          </w:tcPr>
          <w:p w14:paraId="3E835286" w14:textId="30D5F22B" w:rsidR="002F3A2D" w:rsidRDefault="002F3A2D" w:rsidP="002F3A2D">
            <w:pPr>
              <w:jc w:val="center"/>
              <w:rPr>
                <w:sz w:val="24"/>
                <w:szCs w:val="24"/>
              </w:rPr>
            </w:pPr>
            <w:r>
              <w:rPr>
                <w:rFonts w:ascii="Calibri" w:hAnsi="Calibri" w:cs="Calibri"/>
                <w:color w:val="000000"/>
              </w:rPr>
              <w:t>2%</w:t>
            </w:r>
          </w:p>
        </w:tc>
        <w:tc>
          <w:tcPr>
            <w:tcW w:w="1330" w:type="dxa"/>
            <w:vAlign w:val="bottom"/>
          </w:tcPr>
          <w:p w14:paraId="4F01C6E8" w14:textId="27CB02D6" w:rsidR="002F3A2D" w:rsidRDefault="002F3A2D" w:rsidP="002F3A2D">
            <w:pPr>
              <w:jc w:val="center"/>
              <w:rPr>
                <w:sz w:val="24"/>
                <w:szCs w:val="24"/>
              </w:rPr>
            </w:pPr>
            <w:r>
              <w:rPr>
                <w:rFonts w:ascii="Calibri" w:hAnsi="Calibri" w:cs="Calibri"/>
                <w:color w:val="000000"/>
              </w:rPr>
              <w:t>3%</w:t>
            </w:r>
          </w:p>
        </w:tc>
        <w:tc>
          <w:tcPr>
            <w:tcW w:w="1329" w:type="dxa"/>
            <w:vAlign w:val="bottom"/>
          </w:tcPr>
          <w:p w14:paraId="12387F29" w14:textId="3CD154E1" w:rsidR="002F3A2D" w:rsidRDefault="002F3A2D" w:rsidP="002F3A2D">
            <w:pPr>
              <w:jc w:val="center"/>
              <w:rPr>
                <w:sz w:val="24"/>
                <w:szCs w:val="24"/>
              </w:rPr>
            </w:pPr>
            <w:r>
              <w:rPr>
                <w:rFonts w:ascii="Calibri" w:hAnsi="Calibri" w:cs="Calibri"/>
                <w:color w:val="000000"/>
              </w:rPr>
              <w:t>1%</w:t>
            </w:r>
          </w:p>
        </w:tc>
        <w:tc>
          <w:tcPr>
            <w:tcW w:w="1330" w:type="dxa"/>
            <w:vAlign w:val="bottom"/>
          </w:tcPr>
          <w:p w14:paraId="1C73094F" w14:textId="595D7E2E" w:rsidR="002F3A2D" w:rsidRDefault="002F3A2D" w:rsidP="002F3A2D">
            <w:pPr>
              <w:jc w:val="center"/>
              <w:rPr>
                <w:sz w:val="24"/>
                <w:szCs w:val="24"/>
              </w:rPr>
            </w:pPr>
            <w:r>
              <w:rPr>
                <w:rFonts w:ascii="Calibri" w:hAnsi="Calibri" w:cs="Calibri"/>
                <w:color w:val="000000"/>
              </w:rPr>
              <w:t>2%</w:t>
            </w:r>
          </w:p>
        </w:tc>
        <w:tc>
          <w:tcPr>
            <w:tcW w:w="1330" w:type="dxa"/>
            <w:vAlign w:val="bottom"/>
          </w:tcPr>
          <w:p w14:paraId="0438E522" w14:textId="15EF38DB" w:rsidR="002F3A2D" w:rsidRDefault="002F3A2D" w:rsidP="002F3A2D">
            <w:pPr>
              <w:jc w:val="center"/>
              <w:rPr>
                <w:sz w:val="24"/>
                <w:szCs w:val="24"/>
              </w:rPr>
            </w:pPr>
            <w:r>
              <w:rPr>
                <w:rFonts w:ascii="Calibri" w:hAnsi="Calibri" w:cs="Calibri"/>
                <w:color w:val="000000"/>
              </w:rPr>
              <w:t>2%</w:t>
            </w:r>
          </w:p>
        </w:tc>
        <w:tc>
          <w:tcPr>
            <w:tcW w:w="1330" w:type="dxa"/>
            <w:vAlign w:val="bottom"/>
          </w:tcPr>
          <w:p w14:paraId="15BAFD21" w14:textId="5DD04247" w:rsidR="002F3A2D" w:rsidRDefault="002F3A2D" w:rsidP="002F3A2D">
            <w:pPr>
              <w:jc w:val="center"/>
              <w:rPr>
                <w:sz w:val="24"/>
                <w:szCs w:val="24"/>
              </w:rPr>
            </w:pPr>
            <w:r>
              <w:rPr>
                <w:rFonts w:ascii="Calibri" w:hAnsi="Calibri" w:cs="Calibri"/>
                <w:color w:val="000000"/>
              </w:rPr>
              <w:t>2%</w:t>
            </w:r>
          </w:p>
        </w:tc>
        <w:tc>
          <w:tcPr>
            <w:tcW w:w="1330" w:type="dxa"/>
            <w:vAlign w:val="bottom"/>
          </w:tcPr>
          <w:p w14:paraId="45E7A57F" w14:textId="198B93F5" w:rsidR="002F3A2D" w:rsidRDefault="002F3A2D" w:rsidP="002F3A2D">
            <w:pPr>
              <w:jc w:val="center"/>
              <w:rPr>
                <w:rFonts w:ascii="Calibri" w:hAnsi="Calibri" w:cs="Calibri"/>
                <w:color w:val="000000"/>
              </w:rPr>
            </w:pPr>
            <w:r>
              <w:rPr>
                <w:rFonts w:ascii="Calibri" w:hAnsi="Calibri" w:cs="Calibri"/>
                <w:color w:val="000000"/>
              </w:rPr>
              <w:t>2%</w:t>
            </w:r>
          </w:p>
        </w:tc>
      </w:tr>
      <w:tr w:rsidR="002F3A2D" w14:paraId="0B561F44" w14:textId="049FACBE" w:rsidTr="00B45BB4">
        <w:tc>
          <w:tcPr>
            <w:tcW w:w="2972" w:type="dxa"/>
            <w:vAlign w:val="bottom"/>
          </w:tcPr>
          <w:p w14:paraId="71933AE3" w14:textId="6F718A81" w:rsidR="002F3A2D" w:rsidRDefault="002F3A2D" w:rsidP="002F3A2D">
            <w:pPr>
              <w:rPr>
                <w:sz w:val="24"/>
                <w:szCs w:val="24"/>
              </w:rPr>
            </w:pPr>
            <w:r>
              <w:rPr>
                <w:rFonts w:ascii="Calibri" w:hAnsi="Calibri" w:cs="Calibri"/>
                <w:color w:val="000000"/>
              </w:rPr>
              <w:t>Urea &amp; Lime</w:t>
            </w:r>
          </w:p>
        </w:tc>
        <w:tc>
          <w:tcPr>
            <w:tcW w:w="1329" w:type="dxa"/>
            <w:vAlign w:val="bottom"/>
          </w:tcPr>
          <w:p w14:paraId="38470C8D" w14:textId="1B7E6FBE" w:rsidR="002F3A2D" w:rsidRDefault="002F3A2D" w:rsidP="002F3A2D">
            <w:pPr>
              <w:jc w:val="center"/>
              <w:rPr>
                <w:sz w:val="24"/>
                <w:szCs w:val="24"/>
              </w:rPr>
            </w:pPr>
            <w:r>
              <w:rPr>
                <w:rFonts w:ascii="Calibri" w:hAnsi="Calibri" w:cs="Calibri"/>
                <w:color w:val="000000"/>
              </w:rPr>
              <w:t>2%</w:t>
            </w:r>
          </w:p>
        </w:tc>
        <w:tc>
          <w:tcPr>
            <w:tcW w:w="1330" w:type="dxa"/>
            <w:vAlign w:val="bottom"/>
          </w:tcPr>
          <w:p w14:paraId="18B96141" w14:textId="5711296F" w:rsidR="002F3A2D" w:rsidRDefault="002F3A2D" w:rsidP="002F3A2D">
            <w:pPr>
              <w:jc w:val="center"/>
              <w:rPr>
                <w:sz w:val="24"/>
                <w:szCs w:val="24"/>
              </w:rPr>
            </w:pPr>
            <w:r>
              <w:rPr>
                <w:rFonts w:ascii="Calibri" w:hAnsi="Calibri" w:cs="Calibri"/>
                <w:color w:val="000000"/>
              </w:rPr>
              <w:t>2%</w:t>
            </w:r>
          </w:p>
        </w:tc>
        <w:tc>
          <w:tcPr>
            <w:tcW w:w="1330" w:type="dxa"/>
            <w:vAlign w:val="bottom"/>
          </w:tcPr>
          <w:p w14:paraId="1AD4C0E6" w14:textId="77731173" w:rsidR="002F3A2D" w:rsidRDefault="002F3A2D" w:rsidP="002F3A2D">
            <w:pPr>
              <w:jc w:val="center"/>
              <w:rPr>
                <w:sz w:val="24"/>
                <w:szCs w:val="24"/>
              </w:rPr>
            </w:pPr>
            <w:r>
              <w:rPr>
                <w:rFonts w:ascii="Calibri" w:hAnsi="Calibri" w:cs="Calibri"/>
                <w:color w:val="000000"/>
              </w:rPr>
              <w:t>1%</w:t>
            </w:r>
          </w:p>
        </w:tc>
        <w:tc>
          <w:tcPr>
            <w:tcW w:w="1330" w:type="dxa"/>
            <w:vAlign w:val="bottom"/>
          </w:tcPr>
          <w:p w14:paraId="6EF8F990" w14:textId="5A2F0109" w:rsidR="002F3A2D" w:rsidRDefault="002F3A2D" w:rsidP="002F3A2D">
            <w:pPr>
              <w:jc w:val="center"/>
              <w:rPr>
                <w:sz w:val="24"/>
                <w:szCs w:val="24"/>
              </w:rPr>
            </w:pPr>
            <w:r>
              <w:rPr>
                <w:rFonts w:ascii="Calibri" w:hAnsi="Calibri" w:cs="Calibri"/>
                <w:color w:val="000000"/>
              </w:rPr>
              <w:t>1%</w:t>
            </w:r>
          </w:p>
        </w:tc>
        <w:tc>
          <w:tcPr>
            <w:tcW w:w="1329" w:type="dxa"/>
            <w:vAlign w:val="bottom"/>
          </w:tcPr>
          <w:p w14:paraId="608B0A7D" w14:textId="4DF46262" w:rsidR="002F3A2D" w:rsidRDefault="002F3A2D" w:rsidP="002F3A2D">
            <w:pPr>
              <w:jc w:val="center"/>
              <w:rPr>
                <w:sz w:val="24"/>
                <w:szCs w:val="24"/>
              </w:rPr>
            </w:pPr>
            <w:r>
              <w:rPr>
                <w:rFonts w:ascii="Calibri" w:hAnsi="Calibri" w:cs="Calibri"/>
                <w:color w:val="000000"/>
              </w:rPr>
              <w:t>2%</w:t>
            </w:r>
          </w:p>
        </w:tc>
        <w:tc>
          <w:tcPr>
            <w:tcW w:w="1330" w:type="dxa"/>
            <w:vAlign w:val="bottom"/>
          </w:tcPr>
          <w:p w14:paraId="511E3CF1" w14:textId="4C7B3785" w:rsidR="002F3A2D" w:rsidRDefault="002F3A2D" w:rsidP="002F3A2D">
            <w:pPr>
              <w:jc w:val="center"/>
              <w:rPr>
                <w:sz w:val="24"/>
                <w:szCs w:val="24"/>
              </w:rPr>
            </w:pPr>
            <w:r>
              <w:rPr>
                <w:rFonts w:ascii="Calibri" w:hAnsi="Calibri" w:cs="Calibri"/>
                <w:color w:val="000000"/>
              </w:rPr>
              <w:t>2%</w:t>
            </w:r>
          </w:p>
        </w:tc>
        <w:tc>
          <w:tcPr>
            <w:tcW w:w="1330" w:type="dxa"/>
            <w:vAlign w:val="bottom"/>
          </w:tcPr>
          <w:p w14:paraId="1014DA19" w14:textId="6266374B" w:rsidR="002F3A2D" w:rsidRDefault="002F3A2D" w:rsidP="002F3A2D">
            <w:pPr>
              <w:jc w:val="center"/>
              <w:rPr>
                <w:sz w:val="24"/>
                <w:szCs w:val="24"/>
              </w:rPr>
            </w:pPr>
            <w:r>
              <w:rPr>
                <w:rFonts w:ascii="Calibri" w:hAnsi="Calibri" w:cs="Calibri"/>
                <w:color w:val="000000"/>
              </w:rPr>
              <w:t>2%</w:t>
            </w:r>
          </w:p>
        </w:tc>
        <w:tc>
          <w:tcPr>
            <w:tcW w:w="1330" w:type="dxa"/>
            <w:vAlign w:val="bottom"/>
          </w:tcPr>
          <w:p w14:paraId="0AFF9DD1" w14:textId="4C8BD452" w:rsidR="002F3A2D" w:rsidRDefault="002F3A2D" w:rsidP="002F3A2D">
            <w:pPr>
              <w:jc w:val="center"/>
              <w:rPr>
                <w:sz w:val="24"/>
                <w:szCs w:val="24"/>
              </w:rPr>
            </w:pPr>
            <w:r>
              <w:rPr>
                <w:rFonts w:ascii="Calibri" w:hAnsi="Calibri" w:cs="Calibri"/>
                <w:color w:val="000000"/>
              </w:rPr>
              <w:t>2%</w:t>
            </w:r>
          </w:p>
        </w:tc>
        <w:tc>
          <w:tcPr>
            <w:tcW w:w="1330" w:type="dxa"/>
            <w:vAlign w:val="bottom"/>
          </w:tcPr>
          <w:p w14:paraId="7CB2B023" w14:textId="2B5D34BE" w:rsidR="002F3A2D" w:rsidRDefault="002F3A2D" w:rsidP="002F3A2D">
            <w:pPr>
              <w:jc w:val="center"/>
              <w:rPr>
                <w:rFonts w:ascii="Calibri" w:hAnsi="Calibri" w:cs="Calibri"/>
                <w:color w:val="000000"/>
              </w:rPr>
            </w:pPr>
            <w:r>
              <w:rPr>
                <w:rFonts w:ascii="Calibri" w:hAnsi="Calibri" w:cs="Calibri"/>
                <w:color w:val="000000"/>
              </w:rPr>
              <w:t>1%</w:t>
            </w:r>
          </w:p>
        </w:tc>
      </w:tr>
      <w:tr w:rsidR="002F3A2D" w14:paraId="7C0B307D" w14:textId="0B367ADC" w:rsidTr="00B45BB4">
        <w:tc>
          <w:tcPr>
            <w:tcW w:w="2972" w:type="dxa"/>
            <w:vAlign w:val="bottom"/>
          </w:tcPr>
          <w:p w14:paraId="01FA19FF" w14:textId="08519CEF" w:rsidR="002F3A2D" w:rsidRDefault="002F3A2D" w:rsidP="002F3A2D">
            <w:pPr>
              <w:rPr>
                <w:sz w:val="24"/>
                <w:szCs w:val="24"/>
              </w:rPr>
            </w:pPr>
            <w:r>
              <w:rPr>
                <w:rFonts w:ascii="Calibri" w:hAnsi="Calibri" w:cs="Calibri"/>
                <w:color w:val="000000"/>
              </w:rPr>
              <w:t>Concentrates</w:t>
            </w:r>
          </w:p>
        </w:tc>
        <w:tc>
          <w:tcPr>
            <w:tcW w:w="1329" w:type="dxa"/>
            <w:vAlign w:val="bottom"/>
          </w:tcPr>
          <w:p w14:paraId="72C3F824" w14:textId="407BEA26" w:rsidR="002F3A2D" w:rsidRDefault="002F3A2D" w:rsidP="002F3A2D">
            <w:pPr>
              <w:jc w:val="center"/>
              <w:rPr>
                <w:sz w:val="24"/>
                <w:szCs w:val="24"/>
              </w:rPr>
            </w:pPr>
            <w:r>
              <w:rPr>
                <w:rFonts w:ascii="Calibri" w:hAnsi="Calibri" w:cs="Calibri"/>
                <w:color w:val="000000"/>
              </w:rPr>
              <w:t>6%</w:t>
            </w:r>
          </w:p>
        </w:tc>
        <w:tc>
          <w:tcPr>
            <w:tcW w:w="1330" w:type="dxa"/>
            <w:vAlign w:val="bottom"/>
          </w:tcPr>
          <w:p w14:paraId="6313793C" w14:textId="66E6A9B6" w:rsidR="002F3A2D" w:rsidRDefault="002F3A2D" w:rsidP="002F3A2D">
            <w:pPr>
              <w:jc w:val="center"/>
              <w:rPr>
                <w:sz w:val="24"/>
                <w:szCs w:val="24"/>
              </w:rPr>
            </w:pPr>
            <w:r>
              <w:rPr>
                <w:rFonts w:ascii="Calibri" w:hAnsi="Calibri" w:cs="Calibri"/>
                <w:color w:val="000000"/>
              </w:rPr>
              <w:t>5%</w:t>
            </w:r>
          </w:p>
        </w:tc>
        <w:tc>
          <w:tcPr>
            <w:tcW w:w="1330" w:type="dxa"/>
            <w:vAlign w:val="bottom"/>
          </w:tcPr>
          <w:p w14:paraId="7D1EE2D0" w14:textId="1DF8D1BE" w:rsidR="002F3A2D" w:rsidRDefault="002F3A2D" w:rsidP="002F3A2D">
            <w:pPr>
              <w:jc w:val="center"/>
              <w:rPr>
                <w:sz w:val="24"/>
                <w:szCs w:val="24"/>
              </w:rPr>
            </w:pPr>
            <w:r>
              <w:rPr>
                <w:rFonts w:ascii="Calibri" w:hAnsi="Calibri" w:cs="Calibri"/>
                <w:color w:val="000000"/>
              </w:rPr>
              <w:t>6%</w:t>
            </w:r>
          </w:p>
        </w:tc>
        <w:tc>
          <w:tcPr>
            <w:tcW w:w="1330" w:type="dxa"/>
            <w:vAlign w:val="bottom"/>
          </w:tcPr>
          <w:p w14:paraId="24F0349C" w14:textId="41233FB4" w:rsidR="002F3A2D" w:rsidRDefault="002F3A2D" w:rsidP="002F3A2D">
            <w:pPr>
              <w:jc w:val="center"/>
              <w:rPr>
                <w:sz w:val="24"/>
                <w:szCs w:val="24"/>
              </w:rPr>
            </w:pPr>
            <w:r>
              <w:rPr>
                <w:rFonts w:ascii="Calibri" w:hAnsi="Calibri" w:cs="Calibri"/>
                <w:color w:val="000000"/>
              </w:rPr>
              <w:t>5%</w:t>
            </w:r>
          </w:p>
        </w:tc>
        <w:tc>
          <w:tcPr>
            <w:tcW w:w="1329" w:type="dxa"/>
            <w:vAlign w:val="bottom"/>
          </w:tcPr>
          <w:p w14:paraId="2E1EFFA4" w14:textId="0DF4BCC3" w:rsidR="002F3A2D" w:rsidRDefault="002F3A2D" w:rsidP="002F3A2D">
            <w:pPr>
              <w:jc w:val="center"/>
              <w:rPr>
                <w:sz w:val="24"/>
                <w:szCs w:val="24"/>
              </w:rPr>
            </w:pPr>
            <w:r>
              <w:rPr>
                <w:rFonts w:ascii="Calibri" w:hAnsi="Calibri" w:cs="Calibri"/>
                <w:color w:val="000000"/>
              </w:rPr>
              <w:t>4%</w:t>
            </w:r>
          </w:p>
        </w:tc>
        <w:tc>
          <w:tcPr>
            <w:tcW w:w="1330" w:type="dxa"/>
            <w:vAlign w:val="bottom"/>
          </w:tcPr>
          <w:p w14:paraId="76420E8A" w14:textId="1C940158" w:rsidR="002F3A2D" w:rsidRDefault="002F3A2D" w:rsidP="002F3A2D">
            <w:pPr>
              <w:jc w:val="center"/>
              <w:rPr>
                <w:sz w:val="24"/>
                <w:szCs w:val="24"/>
              </w:rPr>
            </w:pPr>
            <w:r>
              <w:rPr>
                <w:rFonts w:ascii="Calibri" w:hAnsi="Calibri" w:cs="Calibri"/>
                <w:color w:val="000000"/>
              </w:rPr>
              <w:t>6%</w:t>
            </w:r>
          </w:p>
        </w:tc>
        <w:tc>
          <w:tcPr>
            <w:tcW w:w="1330" w:type="dxa"/>
            <w:vAlign w:val="bottom"/>
          </w:tcPr>
          <w:p w14:paraId="5F34CDC6" w14:textId="4147C229" w:rsidR="002F3A2D" w:rsidRDefault="002F3A2D" w:rsidP="002F3A2D">
            <w:pPr>
              <w:jc w:val="center"/>
              <w:rPr>
                <w:sz w:val="24"/>
                <w:szCs w:val="24"/>
              </w:rPr>
            </w:pPr>
            <w:r>
              <w:rPr>
                <w:rFonts w:ascii="Calibri" w:hAnsi="Calibri" w:cs="Calibri"/>
                <w:color w:val="000000"/>
              </w:rPr>
              <w:t>3%</w:t>
            </w:r>
          </w:p>
        </w:tc>
        <w:tc>
          <w:tcPr>
            <w:tcW w:w="1330" w:type="dxa"/>
            <w:vAlign w:val="bottom"/>
          </w:tcPr>
          <w:p w14:paraId="07C718B3" w14:textId="39BF73B7" w:rsidR="002F3A2D" w:rsidRDefault="002F3A2D" w:rsidP="002F3A2D">
            <w:pPr>
              <w:jc w:val="center"/>
              <w:rPr>
                <w:sz w:val="24"/>
                <w:szCs w:val="24"/>
              </w:rPr>
            </w:pPr>
            <w:r>
              <w:rPr>
                <w:rFonts w:ascii="Calibri" w:hAnsi="Calibri" w:cs="Calibri"/>
                <w:color w:val="000000"/>
              </w:rPr>
              <w:t>4%</w:t>
            </w:r>
          </w:p>
        </w:tc>
        <w:tc>
          <w:tcPr>
            <w:tcW w:w="1330" w:type="dxa"/>
            <w:vAlign w:val="bottom"/>
          </w:tcPr>
          <w:p w14:paraId="44140EB5" w14:textId="00C701A3" w:rsidR="002F3A2D" w:rsidRDefault="002F3A2D" w:rsidP="002F3A2D">
            <w:pPr>
              <w:jc w:val="center"/>
              <w:rPr>
                <w:rFonts w:ascii="Calibri" w:hAnsi="Calibri" w:cs="Calibri"/>
                <w:color w:val="000000"/>
              </w:rPr>
            </w:pPr>
            <w:r>
              <w:rPr>
                <w:rFonts w:ascii="Calibri" w:hAnsi="Calibri" w:cs="Calibri"/>
                <w:color w:val="000000"/>
              </w:rPr>
              <w:t>6%</w:t>
            </w:r>
          </w:p>
        </w:tc>
      </w:tr>
      <w:tr w:rsidR="002F3A2D" w14:paraId="33074266" w14:textId="65773D6E" w:rsidTr="00B45BB4">
        <w:tc>
          <w:tcPr>
            <w:tcW w:w="2972" w:type="dxa"/>
            <w:vAlign w:val="bottom"/>
          </w:tcPr>
          <w:p w14:paraId="545024B8" w14:textId="5B564E3B" w:rsidR="002F3A2D" w:rsidRDefault="002F3A2D" w:rsidP="002F3A2D">
            <w:pPr>
              <w:rPr>
                <w:sz w:val="24"/>
                <w:szCs w:val="24"/>
              </w:rPr>
            </w:pPr>
            <w:r>
              <w:rPr>
                <w:rFonts w:ascii="Calibri" w:hAnsi="Calibri" w:cs="Calibri"/>
                <w:color w:val="000000"/>
              </w:rPr>
              <w:t>Fodder</w:t>
            </w:r>
          </w:p>
        </w:tc>
        <w:tc>
          <w:tcPr>
            <w:tcW w:w="1329" w:type="dxa"/>
            <w:vAlign w:val="bottom"/>
          </w:tcPr>
          <w:p w14:paraId="219D83AF" w14:textId="3E390551" w:rsidR="002F3A2D" w:rsidRDefault="002F3A2D" w:rsidP="002F3A2D">
            <w:pPr>
              <w:jc w:val="center"/>
              <w:rPr>
                <w:sz w:val="24"/>
                <w:szCs w:val="24"/>
              </w:rPr>
            </w:pPr>
            <w:r>
              <w:rPr>
                <w:rFonts w:ascii="Calibri" w:hAnsi="Calibri" w:cs="Calibri"/>
                <w:color w:val="000000"/>
              </w:rPr>
              <w:t>1%</w:t>
            </w:r>
          </w:p>
        </w:tc>
        <w:tc>
          <w:tcPr>
            <w:tcW w:w="1330" w:type="dxa"/>
            <w:vAlign w:val="bottom"/>
          </w:tcPr>
          <w:p w14:paraId="32D18613" w14:textId="542C7B09" w:rsidR="002F3A2D" w:rsidRDefault="002F3A2D" w:rsidP="002F3A2D">
            <w:pPr>
              <w:jc w:val="center"/>
              <w:rPr>
                <w:sz w:val="24"/>
                <w:szCs w:val="24"/>
              </w:rPr>
            </w:pPr>
            <w:r>
              <w:rPr>
                <w:rFonts w:ascii="Calibri" w:hAnsi="Calibri" w:cs="Calibri"/>
                <w:color w:val="000000"/>
              </w:rPr>
              <w:t>1%</w:t>
            </w:r>
          </w:p>
        </w:tc>
        <w:tc>
          <w:tcPr>
            <w:tcW w:w="1330" w:type="dxa"/>
            <w:vAlign w:val="bottom"/>
          </w:tcPr>
          <w:p w14:paraId="2B1154E8" w14:textId="3C3F6C96" w:rsidR="002F3A2D" w:rsidRDefault="002F3A2D" w:rsidP="002F3A2D">
            <w:pPr>
              <w:jc w:val="center"/>
              <w:rPr>
                <w:sz w:val="24"/>
                <w:szCs w:val="24"/>
              </w:rPr>
            </w:pPr>
            <w:r>
              <w:rPr>
                <w:rFonts w:ascii="Calibri" w:hAnsi="Calibri" w:cs="Calibri"/>
                <w:color w:val="000000"/>
              </w:rPr>
              <w:t>1%</w:t>
            </w:r>
          </w:p>
        </w:tc>
        <w:tc>
          <w:tcPr>
            <w:tcW w:w="1330" w:type="dxa"/>
            <w:vAlign w:val="bottom"/>
          </w:tcPr>
          <w:p w14:paraId="52F2FF21" w14:textId="6B47CF08" w:rsidR="002F3A2D" w:rsidRDefault="002F3A2D" w:rsidP="002F3A2D">
            <w:pPr>
              <w:jc w:val="center"/>
              <w:rPr>
                <w:sz w:val="24"/>
                <w:szCs w:val="24"/>
              </w:rPr>
            </w:pPr>
            <w:r>
              <w:rPr>
                <w:rFonts w:ascii="Calibri" w:hAnsi="Calibri" w:cs="Calibri"/>
                <w:color w:val="000000"/>
              </w:rPr>
              <w:t>2%</w:t>
            </w:r>
          </w:p>
        </w:tc>
        <w:tc>
          <w:tcPr>
            <w:tcW w:w="1329" w:type="dxa"/>
            <w:vAlign w:val="bottom"/>
          </w:tcPr>
          <w:p w14:paraId="4F326D54" w14:textId="35D00DAB" w:rsidR="002F3A2D" w:rsidRDefault="002F3A2D" w:rsidP="002F3A2D">
            <w:pPr>
              <w:jc w:val="center"/>
              <w:rPr>
                <w:sz w:val="24"/>
                <w:szCs w:val="24"/>
              </w:rPr>
            </w:pPr>
            <w:r>
              <w:rPr>
                <w:rFonts w:ascii="Calibri" w:hAnsi="Calibri" w:cs="Calibri"/>
                <w:color w:val="000000"/>
              </w:rPr>
              <w:t>1%</w:t>
            </w:r>
          </w:p>
        </w:tc>
        <w:tc>
          <w:tcPr>
            <w:tcW w:w="1330" w:type="dxa"/>
            <w:vAlign w:val="bottom"/>
          </w:tcPr>
          <w:p w14:paraId="5C990F46" w14:textId="39ECC65C" w:rsidR="002F3A2D" w:rsidRDefault="002F3A2D" w:rsidP="002F3A2D">
            <w:pPr>
              <w:jc w:val="center"/>
              <w:rPr>
                <w:sz w:val="24"/>
                <w:szCs w:val="24"/>
              </w:rPr>
            </w:pPr>
            <w:r>
              <w:rPr>
                <w:rFonts w:ascii="Calibri" w:hAnsi="Calibri" w:cs="Calibri"/>
                <w:color w:val="000000"/>
              </w:rPr>
              <w:t>1%</w:t>
            </w:r>
          </w:p>
        </w:tc>
        <w:tc>
          <w:tcPr>
            <w:tcW w:w="1330" w:type="dxa"/>
            <w:vAlign w:val="bottom"/>
          </w:tcPr>
          <w:p w14:paraId="76EBCF83" w14:textId="6B592584" w:rsidR="002F3A2D" w:rsidRDefault="002F3A2D" w:rsidP="002F3A2D">
            <w:pPr>
              <w:jc w:val="center"/>
              <w:rPr>
                <w:sz w:val="24"/>
                <w:szCs w:val="24"/>
              </w:rPr>
            </w:pPr>
            <w:r>
              <w:rPr>
                <w:rFonts w:ascii="Calibri" w:hAnsi="Calibri" w:cs="Calibri"/>
                <w:color w:val="000000"/>
              </w:rPr>
              <w:t>1%</w:t>
            </w:r>
          </w:p>
        </w:tc>
        <w:tc>
          <w:tcPr>
            <w:tcW w:w="1330" w:type="dxa"/>
            <w:vAlign w:val="bottom"/>
          </w:tcPr>
          <w:p w14:paraId="4F84C1AF" w14:textId="087BDF63" w:rsidR="002F3A2D" w:rsidRDefault="002F3A2D" w:rsidP="002F3A2D">
            <w:pPr>
              <w:jc w:val="center"/>
              <w:rPr>
                <w:sz w:val="24"/>
                <w:szCs w:val="24"/>
              </w:rPr>
            </w:pPr>
            <w:r>
              <w:rPr>
                <w:rFonts w:ascii="Calibri" w:hAnsi="Calibri" w:cs="Calibri"/>
                <w:color w:val="000000"/>
              </w:rPr>
              <w:t>1%</w:t>
            </w:r>
          </w:p>
        </w:tc>
        <w:tc>
          <w:tcPr>
            <w:tcW w:w="1330" w:type="dxa"/>
            <w:vAlign w:val="bottom"/>
          </w:tcPr>
          <w:p w14:paraId="2A7C8F36" w14:textId="1335925D" w:rsidR="002F3A2D" w:rsidRDefault="002F3A2D" w:rsidP="002F3A2D">
            <w:pPr>
              <w:jc w:val="center"/>
              <w:rPr>
                <w:rFonts w:ascii="Calibri" w:hAnsi="Calibri" w:cs="Calibri"/>
                <w:color w:val="000000"/>
              </w:rPr>
            </w:pPr>
            <w:r>
              <w:rPr>
                <w:rFonts w:ascii="Calibri" w:hAnsi="Calibri" w:cs="Calibri"/>
                <w:color w:val="000000"/>
              </w:rPr>
              <w:t>1%</w:t>
            </w:r>
          </w:p>
        </w:tc>
      </w:tr>
      <w:tr w:rsidR="002F3A2D" w14:paraId="64560200" w14:textId="5EEB7A02" w:rsidTr="00B45BB4">
        <w:tc>
          <w:tcPr>
            <w:tcW w:w="2972" w:type="dxa"/>
            <w:vAlign w:val="bottom"/>
          </w:tcPr>
          <w:p w14:paraId="388B0524" w14:textId="4B61110C" w:rsidR="002F3A2D" w:rsidRDefault="002F3A2D" w:rsidP="002F3A2D">
            <w:pPr>
              <w:rPr>
                <w:sz w:val="24"/>
                <w:szCs w:val="24"/>
              </w:rPr>
            </w:pPr>
            <w:r>
              <w:rPr>
                <w:rFonts w:ascii="Calibri" w:hAnsi="Calibri" w:cs="Calibri"/>
                <w:color w:val="000000"/>
              </w:rPr>
              <w:t>Fertiliser</w:t>
            </w:r>
          </w:p>
        </w:tc>
        <w:tc>
          <w:tcPr>
            <w:tcW w:w="1329" w:type="dxa"/>
            <w:vAlign w:val="bottom"/>
          </w:tcPr>
          <w:p w14:paraId="485117DC" w14:textId="7898EBF5" w:rsidR="002F3A2D" w:rsidRDefault="002F3A2D" w:rsidP="002F3A2D">
            <w:pPr>
              <w:jc w:val="center"/>
              <w:rPr>
                <w:sz w:val="24"/>
                <w:szCs w:val="24"/>
              </w:rPr>
            </w:pPr>
            <w:r>
              <w:rPr>
                <w:rFonts w:ascii="Calibri" w:hAnsi="Calibri" w:cs="Calibri"/>
                <w:color w:val="000000"/>
              </w:rPr>
              <w:t>5%</w:t>
            </w:r>
          </w:p>
        </w:tc>
        <w:tc>
          <w:tcPr>
            <w:tcW w:w="1330" w:type="dxa"/>
            <w:vAlign w:val="bottom"/>
          </w:tcPr>
          <w:p w14:paraId="6A0D2E55" w14:textId="44CFE42D" w:rsidR="002F3A2D" w:rsidRDefault="002F3A2D" w:rsidP="002F3A2D">
            <w:pPr>
              <w:jc w:val="center"/>
              <w:rPr>
                <w:sz w:val="24"/>
                <w:szCs w:val="24"/>
              </w:rPr>
            </w:pPr>
            <w:r>
              <w:rPr>
                <w:rFonts w:ascii="Calibri" w:hAnsi="Calibri" w:cs="Calibri"/>
                <w:color w:val="000000"/>
              </w:rPr>
              <w:t>5%</w:t>
            </w:r>
          </w:p>
        </w:tc>
        <w:tc>
          <w:tcPr>
            <w:tcW w:w="1330" w:type="dxa"/>
            <w:vAlign w:val="bottom"/>
          </w:tcPr>
          <w:p w14:paraId="16B763CC" w14:textId="7A8C455F" w:rsidR="002F3A2D" w:rsidRDefault="002F3A2D" w:rsidP="002F3A2D">
            <w:pPr>
              <w:jc w:val="center"/>
              <w:rPr>
                <w:sz w:val="24"/>
                <w:szCs w:val="24"/>
              </w:rPr>
            </w:pPr>
            <w:r>
              <w:rPr>
                <w:rFonts w:ascii="Calibri" w:hAnsi="Calibri" w:cs="Calibri"/>
                <w:color w:val="000000"/>
              </w:rPr>
              <w:t>4%</w:t>
            </w:r>
          </w:p>
        </w:tc>
        <w:tc>
          <w:tcPr>
            <w:tcW w:w="1330" w:type="dxa"/>
            <w:vAlign w:val="bottom"/>
          </w:tcPr>
          <w:p w14:paraId="147C58B0" w14:textId="3ECF10D6" w:rsidR="002F3A2D" w:rsidRDefault="002F3A2D" w:rsidP="002F3A2D">
            <w:pPr>
              <w:jc w:val="center"/>
              <w:rPr>
                <w:sz w:val="24"/>
                <w:szCs w:val="24"/>
              </w:rPr>
            </w:pPr>
            <w:r>
              <w:rPr>
                <w:rFonts w:ascii="Calibri" w:hAnsi="Calibri" w:cs="Calibri"/>
                <w:color w:val="000000"/>
              </w:rPr>
              <w:t>5%</w:t>
            </w:r>
          </w:p>
        </w:tc>
        <w:tc>
          <w:tcPr>
            <w:tcW w:w="1329" w:type="dxa"/>
            <w:vAlign w:val="bottom"/>
          </w:tcPr>
          <w:p w14:paraId="016307AC" w14:textId="4183F9CA" w:rsidR="002F3A2D" w:rsidRDefault="002F3A2D" w:rsidP="002F3A2D">
            <w:pPr>
              <w:jc w:val="center"/>
              <w:rPr>
                <w:sz w:val="24"/>
                <w:szCs w:val="24"/>
              </w:rPr>
            </w:pPr>
            <w:r>
              <w:rPr>
                <w:rFonts w:ascii="Calibri" w:hAnsi="Calibri" w:cs="Calibri"/>
                <w:color w:val="000000"/>
              </w:rPr>
              <w:t>6%</w:t>
            </w:r>
          </w:p>
        </w:tc>
        <w:tc>
          <w:tcPr>
            <w:tcW w:w="1330" w:type="dxa"/>
            <w:vAlign w:val="bottom"/>
          </w:tcPr>
          <w:p w14:paraId="4F29F9A5" w14:textId="0523B386" w:rsidR="002F3A2D" w:rsidRDefault="002F3A2D" w:rsidP="002F3A2D">
            <w:pPr>
              <w:jc w:val="center"/>
              <w:rPr>
                <w:sz w:val="24"/>
                <w:szCs w:val="24"/>
              </w:rPr>
            </w:pPr>
            <w:r>
              <w:rPr>
                <w:rFonts w:ascii="Calibri" w:hAnsi="Calibri" w:cs="Calibri"/>
                <w:color w:val="000000"/>
              </w:rPr>
              <w:t>6%</w:t>
            </w:r>
          </w:p>
        </w:tc>
        <w:tc>
          <w:tcPr>
            <w:tcW w:w="1330" w:type="dxa"/>
            <w:vAlign w:val="bottom"/>
          </w:tcPr>
          <w:p w14:paraId="185B1692" w14:textId="44390A72" w:rsidR="002F3A2D" w:rsidRDefault="002F3A2D" w:rsidP="002F3A2D">
            <w:pPr>
              <w:jc w:val="center"/>
              <w:rPr>
                <w:sz w:val="24"/>
                <w:szCs w:val="24"/>
              </w:rPr>
            </w:pPr>
            <w:r>
              <w:rPr>
                <w:rFonts w:ascii="Calibri" w:hAnsi="Calibri" w:cs="Calibri"/>
                <w:color w:val="000000"/>
              </w:rPr>
              <w:t>5%</w:t>
            </w:r>
          </w:p>
        </w:tc>
        <w:tc>
          <w:tcPr>
            <w:tcW w:w="1330" w:type="dxa"/>
            <w:vAlign w:val="bottom"/>
          </w:tcPr>
          <w:p w14:paraId="797DA5FE" w14:textId="09A0FC08" w:rsidR="002F3A2D" w:rsidRDefault="002F3A2D" w:rsidP="002F3A2D">
            <w:pPr>
              <w:jc w:val="center"/>
              <w:rPr>
                <w:sz w:val="24"/>
                <w:szCs w:val="24"/>
              </w:rPr>
            </w:pPr>
            <w:r>
              <w:rPr>
                <w:rFonts w:ascii="Calibri" w:hAnsi="Calibri" w:cs="Calibri"/>
                <w:color w:val="000000"/>
              </w:rPr>
              <w:t>6%</w:t>
            </w:r>
          </w:p>
        </w:tc>
        <w:tc>
          <w:tcPr>
            <w:tcW w:w="1330" w:type="dxa"/>
            <w:vAlign w:val="bottom"/>
          </w:tcPr>
          <w:p w14:paraId="0AB48CE0" w14:textId="7FF169B0" w:rsidR="002F3A2D" w:rsidRDefault="002F3A2D" w:rsidP="002F3A2D">
            <w:pPr>
              <w:jc w:val="center"/>
              <w:rPr>
                <w:rFonts w:ascii="Calibri" w:hAnsi="Calibri" w:cs="Calibri"/>
                <w:color w:val="000000"/>
              </w:rPr>
            </w:pPr>
            <w:r>
              <w:rPr>
                <w:rFonts w:ascii="Calibri" w:hAnsi="Calibri" w:cs="Calibri"/>
                <w:color w:val="000000"/>
              </w:rPr>
              <w:t>5%</w:t>
            </w:r>
          </w:p>
        </w:tc>
      </w:tr>
      <w:tr w:rsidR="002F3A2D" w14:paraId="1E785C47" w14:textId="3330C562" w:rsidTr="00B45BB4">
        <w:tc>
          <w:tcPr>
            <w:tcW w:w="2972" w:type="dxa"/>
            <w:tcBorders>
              <w:bottom w:val="single" w:sz="4" w:space="0" w:color="auto"/>
            </w:tcBorders>
            <w:vAlign w:val="bottom"/>
          </w:tcPr>
          <w:p w14:paraId="5297963C" w14:textId="267FFE2A" w:rsidR="002F3A2D" w:rsidRDefault="002F3A2D" w:rsidP="002F3A2D">
            <w:pPr>
              <w:rPr>
                <w:sz w:val="24"/>
                <w:szCs w:val="24"/>
              </w:rPr>
            </w:pPr>
            <w:r>
              <w:rPr>
                <w:rFonts w:ascii="Calibri" w:hAnsi="Calibri" w:cs="Calibri"/>
                <w:color w:val="000000"/>
              </w:rPr>
              <w:t>Trees</w:t>
            </w:r>
          </w:p>
        </w:tc>
        <w:tc>
          <w:tcPr>
            <w:tcW w:w="1329" w:type="dxa"/>
            <w:tcBorders>
              <w:bottom w:val="single" w:sz="4" w:space="0" w:color="auto"/>
            </w:tcBorders>
            <w:vAlign w:val="bottom"/>
          </w:tcPr>
          <w:p w14:paraId="1C6B6CA4" w14:textId="550FBAA7"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6033982F" w14:textId="42663B8E"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36621D4A" w14:textId="2767C0D7"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6D0A6E08" w14:textId="73F006B9" w:rsidR="002F3A2D" w:rsidRDefault="002F3A2D" w:rsidP="002F3A2D">
            <w:pPr>
              <w:jc w:val="center"/>
              <w:rPr>
                <w:sz w:val="24"/>
                <w:szCs w:val="24"/>
              </w:rPr>
            </w:pPr>
            <w:r>
              <w:rPr>
                <w:rFonts w:ascii="Calibri" w:hAnsi="Calibri" w:cs="Calibri"/>
                <w:color w:val="000000"/>
              </w:rPr>
              <w:t>0%</w:t>
            </w:r>
          </w:p>
        </w:tc>
        <w:tc>
          <w:tcPr>
            <w:tcW w:w="1329" w:type="dxa"/>
            <w:tcBorders>
              <w:bottom w:val="single" w:sz="4" w:space="0" w:color="auto"/>
            </w:tcBorders>
            <w:vAlign w:val="bottom"/>
          </w:tcPr>
          <w:p w14:paraId="442C140E" w14:textId="36F35EEA"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6A0A2D55" w14:textId="0A5F16EF"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237A0453" w14:textId="6F174E16"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1B04B3F4" w14:textId="771998B9" w:rsidR="002F3A2D" w:rsidRDefault="002F3A2D" w:rsidP="002F3A2D">
            <w:pPr>
              <w:jc w:val="center"/>
              <w:rPr>
                <w:sz w:val="24"/>
                <w:szCs w:val="24"/>
              </w:rPr>
            </w:pPr>
            <w:r>
              <w:rPr>
                <w:rFonts w:ascii="Calibri" w:hAnsi="Calibri" w:cs="Calibri"/>
                <w:color w:val="000000"/>
              </w:rPr>
              <w:t>0%</w:t>
            </w:r>
          </w:p>
        </w:tc>
        <w:tc>
          <w:tcPr>
            <w:tcW w:w="1330" w:type="dxa"/>
            <w:tcBorders>
              <w:bottom w:val="single" w:sz="4" w:space="0" w:color="auto"/>
            </w:tcBorders>
            <w:vAlign w:val="bottom"/>
          </w:tcPr>
          <w:p w14:paraId="71111113" w14:textId="2C04F3A9" w:rsidR="002F3A2D" w:rsidRDefault="002F3A2D" w:rsidP="002F3A2D">
            <w:pPr>
              <w:jc w:val="center"/>
              <w:rPr>
                <w:rFonts w:ascii="Calibri" w:hAnsi="Calibri" w:cs="Calibri"/>
                <w:color w:val="000000"/>
              </w:rPr>
            </w:pPr>
            <w:r>
              <w:rPr>
                <w:rFonts w:ascii="Calibri" w:hAnsi="Calibri" w:cs="Calibri"/>
                <w:color w:val="000000"/>
              </w:rPr>
              <w:t>0%</w:t>
            </w:r>
          </w:p>
        </w:tc>
      </w:tr>
    </w:tbl>
    <w:p w14:paraId="57996BD8" w14:textId="14C910F5" w:rsidR="00D04BCE" w:rsidRPr="00B45BB4" w:rsidRDefault="00B45BB4" w:rsidP="00B62361">
      <w:pPr>
        <w:rPr>
          <w:sz w:val="24"/>
          <w:szCs w:val="24"/>
        </w:rPr>
      </w:pPr>
      <w:r w:rsidRPr="00B45BB4">
        <w:rPr>
          <w:sz w:val="24"/>
          <w:szCs w:val="24"/>
          <w:vertAlign w:val="superscript"/>
        </w:rPr>
        <w:t xml:space="preserve">1 </w:t>
      </w:r>
      <w:r>
        <w:rPr>
          <w:sz w:val="24"/>
          <w:szCs w:val="24"/>
        </w:rPr>
        <w:t>Low grain feeding</w:t>
      </w:r>
      <w:r w:rsidR="00BB2930">
        <w:rPr>
          <w:sz w:val="24"/>
          <w:szCs w:val="24"/>
        </w:rPr>
        <w:t xml:space="preserve"> = &lt; 1 tonne DM/cow.lactation, medium grain feeding = 1-2 tonnes DM/cow.lactation, high grain feeding = &gt; 2 tonnes DM/cow.lactation.  </w:t>
      </w:r>
    </w:p>
    <w:sectPr w:rsidR="00D04BCE" w:rsidRPr="00B45BB4" w:rsidSect="008903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C854" w14:textId="77777777" w:rsidR="00D200A3" w:rsidRDefault="00D200A3" w:rsidP="00E12344">
      <w:pPr>
        <w:spacing w:after="0" w:line="240" w:lineRule="auto"/>
      </w:pPr>
      <w:r>
        <w:separator/>
      </w:r>
    </w:p>
  </w:endnote>
  <w:endnote w:type="continuationSeparator" w:id="0">
    <w:p w14:paraId="70A2C117" w14:textId="77777777" w:rsidR="00D200A3" w:rsidRDefault="00D200A3" w:rsidP="00E12344">
      <w:pPr>
        <w:spacing w:after="0" w:line="240" w:lineRule="auto"/>
      </w:pPr>
      <w:r>
        <w:continuationSeparator/>
      </w:r>
    </w:p>
  </w:endnote>
  <w:endnote w:type="continuationNotice" w:id="1">
    <w:p w14:paraId="77821BCD" w14:textId="77777777" w:rsidR="00D200A3" w:rsidRDefault="00D20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65484"/>
      <w:docPartObj>
        <w:docPartGallery w:val="Page Numbers (Bottom of Page)"/>
        <w:docPartUnique/>
      </w:docPartObj>
    </w:sdtPr>
    <w:sdtEndPr/>
    <w:sdtContent>
      <w:sdt>
        <w:sdtPr>
          <w:id w:val="-1769616900"/>
          <w:docPartObj>
            <w:docPartGallery w:val="Page Numbers (Top of Page)"/>
            <w:docPartUnique/>
          </w:docPartObj>
        </w:sdtPr>
        <w:sdtEndPr/>
        <w:sdtContent>
          <w:p w14:paraId="769CC5C4" w14:textId="268AC47A" w:rsidR="00057D46" w:rsidRPr="00057D46" w:rsidRDefault="00057D46">
            <w:pPr>
              <w:pStyle w:val="Footer"/>
              <w:jc w:val="right"/>
            </w:pPr>
            <w:r w:rsidRPr="00057D46">
              <w:t xml:space="preserve">Page </w:t>
            </w:r>
            <w:r w:rsidRPr="00057D46">
              <w:rPr>
                <w:sz w:val="24"/>
                <w:szCs w:val="24"/>
              </w:rPr>
              <w:fldChar w:fldCharType="begin"/>
            </w:r>
            <w:r w:rsidRPr="00057D46">
              <w:rPr>
                <w:sz w:val="24"/>
                <w:szCs w:val="24"/>
              </w:rPr>
              <w:instrText xml:space="preserve"> PAGE  </w:instrText>
            </w:r>
            <w:r w:rsidRPr="00057D46">
              <w:rPr>
                <w:sz w:val="24"/>
                <w:szCs w:val="24"/>
              </w:rPr>
              <w:fldChar w:fldCharType="separate"/>
            </w:r>
            <w:r w:rsidRPr="00057D46">
              <w:rPr>
                <w:noProof/>
                <w:sz w:val="24"/>
                <w:szCs w:val="24"/>
              </w:rPr>
              <w:t>1</w:t>
            </w:r>
            <w:r w:rsidRPr="00057D46">
              <w:rPr>
                <w:sz w:val="24"/>
                <w:szCs w:val="24"/>
              </w:rPr>
              <w:fldChar w:fldCharType="end"/>
            </w:r>
            <w:r w:rsidRPr="00057D46">
              <w:t xml:space="preserve"> of </w:t>
            </w:r>
            <w:r w:rsidR="00212440">
              <w:fldChar w:fldCharType="begin"/>
            </w:r>
            <w:r w:rsidR="00212440">
              <w:instrText xml:space="preserve"> NUMPAGES  </w:instrText>
            </w:r>
            <w:r w:rsidR="00212440">
              <w:fldChar w:fldCharType="separate"/>
            </w:r>
            <w:r w:rsidRPr="00057D46">
              <w:rPr>
                <w:noProof/>
              </w:rPr>
              <w:t>2</w:t>
            </w:r>
            <w:r w:rsidR="00212440">
              <w:rPr>
                <w:noProof/>
              </w:rPr>
              <w:fldChar w:fldCharType="end"/>
            </w:r>
          </w:p>
        </w:sdtContent>
      </w:sdt>
    </w:sdtContent>
  </w:sdt>
  <w:p w14:paraId="127352A9" w14:textId="3C92FEB5" w:rsidR="00873ADE" w:rsidRDefault="0087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6395" w14:textId="77777777" w:rsidR="00D200A3" w:rsidRDefault="00D200A3" w:rsidP="00E12344">
      <w:pPr>
        <w:spacing w:after="0" w:line="240" w:lineRule="auto"/>
      </w:pPr>
      <w:r>
        <w:separator/>
      </w:r>
    </w:p>
  </w:footnote>
  <w:footnote w:type="continuationSeparator" w:id="0">
    <w:p w14:paraId="02327777" w14:textId="77777777" w:rsidR="00D200A3" w:rsidRDefault="00D200A3" w:rsidP="00E12344">
      <w:pPr>
        <w:spacing w:after="0" w:line="240" w:lineRule="auto"/>
      </w:pPr>
      <w:r>
        <w:continuationSeparator/>
      </w:r>
    </w:p>
  </w:footnote>
  <w:footnote w:type="continuationNotice" w:id="1">
    <w:p w14:paraId="40B07686" w14:textId="77777777" w:rsidR="00D200A3" w:rsidRDefault="00D200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837"/>
    <w:multiLevelType w:val="hybridMultilevel"/>
    <w:tmpl w:val="87E6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74F76"/>
    <w:multiLevelType w:val="hybridMultilevel"/>
    <w:tmpl w:val="561A8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4625A6"/>
    <w:multiLevelType w:val="multilevel"/>
    <w:tmpl w:val="A6D024E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A2CF2"/>
    <w:multiLevelType w:val="hybridMultilevel"/>
    <w:tmpl w:val="FFC24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73698"/>
    <w:multiLevelType w:val="hybridMultilevel"/>
    <w:tmpl w:val="66A89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F47A7"/>
    <w:multiLevelType w:val="hybridMultilevel"/>
    <w:tmpl w:val="48C416A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 w15:restartNumberingAfterBreak="0">
    <w:nsid w:val="1AB82A38"/>
    <w:multiLevelType w:val="hybridMultilevel"/>
    <w:tmpl w:val="AC92F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002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677132"/>
    <w:multiLevelType w:val="multilevel"/>
    <w:tmpl w:val="08AE6986"/>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70F9F"/>
    <w:multiLevelType w:val="multilevel"/>
    <w:tmpl w:val="A88C9242"/>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283C17"/>
    <w:multiLevelType w:val="multilevel"/>
    <w:tmpl w:val="08AE6986"/>
    <w:numStyleLink w:val="Style2"/>
  </w:abstractNum>
  <w:abstractNum w:abstractNumId="11" w15:restartNumberingAfterBreak="0">
    <w:nsid w:val="2FF44EF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CE12E4"/>
    <w:multiLevelType w:val="hybridMultilevel"/>
    <w:tmpl w:val="63E24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F549A"/>
    <w:multiLevelType w:val="hybridMultilevel"/>
    <w:tmpl w:val="BA76EC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8FF4946"/>
    <w:multiLevelType w:val="hybridMultilevel"/>
    <w:tmpl w:val="9222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23806"/>
    <w:multiLevelType w:val="hybridMultilevel"/>
    <w:tmpl w:val="D75C6138"/>
    <w:lvl w:ilvl="0" w:tplc="0C09000F">
      <w:start w:val="1"/>
      <w:numFmt w:val="decimal"/>
      <w:lvlText w:val="%1."/>
      <w:lvlJc w:val="left"/>
      <w:pPr>
        <w:ind w:left="305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603C24"/>
    <w:multiLevelType w:val="hybridMultilevel"/>
    <w:tmpl w:val="BF828C4C"/>
    <w:lvl w:ilvl="0" w:tplc="360611FE">
      <w:start w:val="6"/>
      <w:numFmt w:val="decimal"/>
      <w:lvlText w:val="%1."/>
      <w:lvlJc w:val="left"/>
      <w:pPr>
        <w:ind w:left="30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DE270A"/>
    <w:multiLevelType w:val="hybridMultilevel"/>
    <w:tmpl w:val="B0DC78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B4E5E6D"/>
    <w:multiLevelType w:val="hybridMultilevel"/>
    <w:tmpl w:val="88BAF286"/>
    <w:lvl w:ilvl="0" w:tplc="6A0007FC">
      <w:start w:val="8"/>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620A64"/>
    <w:multiLevelType w:val="hybridMultilevel"/>
    <w:tmpl w:val="8D685AC6"/>
    <w:lvl w:ilvl="0" w:tplc="35182384">
      <w:start w:val="10"/>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784825"/>
    <w:multiLevelType w:val="multilevel"/>
    <w:tmpl w:val="02385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A3C7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A1B1E"/>
    <w:multiLevelType w:val="hybridMultilevel"/>
    <w:tmpl w:val="1B32B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E0222F"/>
    <w:multiLevelType w:val="hybridMultilevel"/>
    <w:tmpl w:val="16CA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A0951"/>
    <w:multiLevelType w:val="hybridMultilevel"/>
    <w:tmpl w:val="32D8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AA3555"/>
    <w:multiLevelType w:val="hybridMultilevel"/>
    <w:tmpl w:val="6350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37C7F"/>
    <w:multiLevelType w:val="hybridMultilevel"/>
    <w:tmpl w:val="C8EC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0F0926"/>
    <w:multiLevelType w:val="hybridMultilevel"/>
    <w:tmpl w:val="32EC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197430"/>
    <w:multiLevelType w:val="multilevel"/>
    <w:tmpl w:val="A6D024E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B75B0B"/>
    <w:multiLevelType w:val="hybridMultilevel"/>
    <w:tmpl w:val="F0EC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EE29A5"/>
    <w:multiLevelType w:val="multilevel"/>
    <w:tmpl w:val="39C21D60"/>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0C3B18"/>
    <w:multiLevelType w:val="hybridMultilevel"/>
    <w:tmpl w:val="83DAA69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2" w15:restartNumberingAfterBreak="0">
    <w:nsid w:val="79FA3EDB"/>
    <w:multiLevelType w:val="hybridMultilevel"/>
    <w:tmpl w:val="3874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584EB1"/>
    <w:multiLevelType w:val="hybridMultilevel"/>
    <w:tmpl w:val="AF90A6E8"/>
    <w:lvl w:ilvl="0" w:tplc="CBE495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525487"/>
    <w:multiLevelType w:val="multilevel"/>
    <w:tmpl w:val="A88C9242"/>
    <w:numStyleLink w:val="Style1"/>
  </w:abstractNum>
  <w:num w:numId="1" w16cid:durableId="1006058254">
    <w:abstractNumId w:val="12"/>
  </w:num>
  <w:num w:numId="2" w16cid:durableId="450127521">
    <w:abstractNumId w:val="0"/>
  </w:num>
  <w:num w:numId="3" w16cid:durableId="2119715590">
    <w:abstractNumId w:val="5"/>
  </w:num>
  <w:num w:numId="4" w16cid:durableId="30081442">
    <w:abstractNumId w:val="15"/>
  </w:num>
  <w:num w:numId="5" w16cid:durableId="1458066486">
    <w:abstractNumId w:val="34"/>
  </w:num>
  <w:num w:numId="6" w16cid:durableId="2081979812">
    <w:abstractNumId w:val="9"/>
  </w:num>
  <w:num w:numId="7" w16cid:durableId="1507743823">
    <w:abstractNumId w:val="10"/>
  </w:num>
  <w:num w:numId="8" w16cid:durableId="1789078810">
    <w:abstractNumId w:val="8"/>
  </w:num>
  <w:num w:numId="9" w16cid:durableId="1588925107">
    <w:abstractNumId w:val="28"/>
  </w:num>
  <w:num w:numId="10" w16cid:durableId="1181116953">
    <w:abstractNumId w:val="2"/>
  </w:num>
  <w:num w:numId="11" w16cid:durableId="1483425346">
    <w:abstractNumId w:val="11"/>
  </w:num>
  <w:num w:numId="12" w16cid:durableId="27462630">
    <w:abstractNumId w:val="6"/>
  </w:num>
  <w:num w:numId="13" w16cid:durableId="1622153301">
    <w:abstractNumId w:val="4"/>
  </w:num>
  <w:num w:numId="14" w16cid:durableId="236482390">
    <w:abstractNumId w:val="21"/>
  </w:num>
  <w:num w:numId="15" w16cid:durableId="1421684621">
    <w:abstractNumId w:val="27"/>
  </w:num>
  <w:num w:numId="16" w16cid:durableId="910887253">
    <w:abstractNumId w:val="24"/>
  </w:num>
  <w:num w:numId="17" w16cid:durableId="1809930102">
    <w:abstractNumId w:val="23"/>
  </w:num>
  <w:num w:numId="18" w16cid:durableId="415902948">
    <w:abstractNumId w:val="17"/>
  </w:num>
  <w:num w:numId="19" w16cid:durableId="550534909">
    <w:abstractNumId w:val="22"/>
  </w:num>
  <w:num w:numId="20" w16cid:durableId="337924081">
    <w:abstractNumId w:val="7"/>
  </w:num>
  <w:num w:numId="21" w16cid:durableId="1056009232">
    <w:abstractNumId w:val="30"/>
  </w:num>
  <w:num w:numId="22" w16cid:durableId="725030439">
    <w:abstractNumId w:val="29"/>
  </w:num>
  <w:num w:numId="23" w16cid:durableId="1559901782">
    <w:abstractNumId w:val="26"/>
  </w:num>
  <w:num w:numId="24" w16cid:durableId="1540245446">
    <w:abstractNumId w:val="32"/>
  </w:num>
  <w:num w:numId="25" w16cid:durableId="1343321269">
    <w:abstractNumId w:val="33"/>
  </w:num>
  <w:num w:numId="26" w16cid:durableId="2071612291">
    <w:abstractNumId w:val="1"/>
  </w:num>
  <w:num w:numId="27" w16cid:durableId="429743144">
    <w:abstractNumId w:val="13"/>
  </w:num>
  <w:num w:numId="28" w16cid:durableId="2047748978">
    <w:abstractNumId w:val="31"/>
  </w:num>
  <w:num w:numId="29" w16cid:durableId="931283678">
    <w:abstractNumId w:val="3"/>
  </w:num>
  <w:num w:numId="30" w16cid:durableId="1316641767">
    <w:abstractNumId w:val="25"/>
  </w:num>
  <w:num w:numId="31" w16cid:durableId="1549880627">
    <w:abstractNumId w:val="20"/>
  </w:num>
  <w:num w:numId="32" w16cid:durableId="462772698">
    <w:abstractNumId w:val="14"/>
  </w:num>
  <w:num w:numId="33" w16cid:durableId="1478572427">
    <w:abstractNumId w:val="16"/>
  </w:num>
  <w:num w:numId="34" w16cid:durableId="1481188128">
    <w:abstractNumId w:val="18"/>
  </w:num>
  <w:num w:numId="35" w16cid:durableId="20369986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501F7"/>
    <w:rsid w:val="00000275"/>
    <w:rsid w:val="000003EB"/>
    <w:rsid w:val="00000770"/>
    <w:rsid w:val="00000CFB"/>
    <w:rsid w:val="000011A8"/>
    <w:rsid w:val="00001352"/>
    <w:rsid w:val="00001597"/>
    <w:rsid w:val="00001994"/>
    <w:rsid w:val="00001A2C"/>
    <w:rsid w:val="00001B04"/>
    <w:rsid w:val="00001DC0"/>
    <w:rsid w:val="00002928"/>
    <w:rsid w:val="000036C2"/>
    <w:rsid w:val="00003969"/>
    <w:rsid w:val="00003A71"/>
    <w:rsid w:val="00004124"/>
    <w:rsid w:val="00004934"/>
    <w:rsid w:val="000056A6"/>
    <w:rsid w:val="00005BC4"/>
    <w:rsid w:val="00005C20"/>
    <w:rsid w:val="0000735E"/>
    <w:rsid w:val="00007B02"/>
    <w:rsid w:val="00007E46"/>
    <w:rsid w:val="00010006"/>
    <w:rsid w:val="000106DF"/>
    <w:rsid w:val="000108B7"/>
    <w:rsid w:val="0001095F"/>
    <w:rsid w:val="00010DB5"/>
    <w:rsid w:val="00011677"/>
    <w:rsid w:val="00011CB3"/>
    <w:rsid w:val="00011E7A"/>
    <w:rsid w:val="000120A4"/>
    <w:rsid w:val="0001281A"/>
    <w:rsid w:val="00012A2A"/>
    <w:rsid w:val="00012EFF"/>
    <w:rsid w:val="00013691"/>
    <w:rsid w:val="00013DC0"/>
    <w:rsid w:val="0001441D"/>
    <w:rsid w:val="000149B8"/>
    <w:rsid w:val="00014B7D"/>
    <w:rsid w:val="00014F1C"/>
    <w:rsid w:val="00015015"/>
    <w:rsid w:val="000154FD"/>
    <w:rsid w:val="0001566B"/>
    <w:rsid w:val="0001599A"/>
    <w:rsid w:val="00015D06"/>
    <w:rsid w:val="00016AB6"/>
    <w:rsid w:val="00016BCE"/>
    <w:rsid w:val="00016DA2"/>
    <w:rsid w:val="00017203"/>
    <w:rsid w:val="0001733A"/>
    <w:rsid w:val="0001733B"/>
    <w:rsid w:val="00017BBB"/>
    <w:rsid w:val="00017C93"/>
    <w:rsid w:val="00017F42"/>
    <w:rsid w:val="0002019E"/>
    <w:rsid w:val="000202A4"/>
    <w:rsid w:val="00020A1A"/>
    <w:rsid w:val="00020B23"/>
    <w:rsid w:val="00020FCB"/>
    <w:rsid w:val="00021021"/>
    <w:rsid w:val="000214DA"/>
    <w:rsid w:val="000219AC"/>
    <w:rsid w:val="00021C90"/>
    <w:rsid w:val="0002254E"/>
    <w:rsid w:val="00022956"/>
    <w:rsid w:val="000233C7"/>
    <w:rsid w:val="00023745"/>
    <w:rsid w:val="00023F41"/>
    <w:rsid w:val="0002407A"/>
    <w:rsid w:val="00024199"/>
    <w:rsid w:val="0002447D"/>
    <w:rsid w:val="00024B74"/>
    <w:rsid w:val="00024F44"/>
    <w:rsid w:val="0002582C"/>
    <w:rsid w:val="00026AE5"/>
    <w:rsid w:val="00027C32"/>
    <w:rsid w:val="000305EE"/>
    <w:rsid w:val="00030A12"/>
    <w:rsid w:val="0003142C"/>
    <w:rsid w:val="00031A11"/>
    <w:rsid w:val="00031A1B"/>
    <w:rsid w:val="00031CA6"/>
    <w:rsid w:val="000320C5"/>
    <w:rsid w:val="0003269F"/>
    <w:rsid w:val="00032B31"/>
    <w:rsid w:val="000335B9"/>
    <w:rsid w:val="00033BC0"/>
    <w:rsid w:val="00033EDC"/>
    <w:rsid w:val="00034350"/>
    <w:rsid w:val="00034DFC"/>
    <w:rsid w:val="000352E7"/>
    <w:rsid w:val="00036380"/>
    <w:rsid w:val="000363E8"/>
    <w:rsid w:val="00036655"/>
    <w:rsid w:val="00036939"/>
    <w:rsid w:val="0003790A"/>
    <w:rsid w:val="00037C1C"/>
    <w:rsid w:val="0004046C"/>
    <w:rsid w:val="00040722"/>
    <w:rsid w:val="00040893"/>
    <w:rsid w:val="00041196"/>
    <w:rsid w:val="000413FC"/>
    <w:rsid w:val="000417B8"/>
    <w:rsid w:val="00042470"/>
    <w:rsid w:val="00042654"/>
    <w:rsid w:val="0004337E"/>
    <w:rsid w:val="00043A74"/>
    <w:rsid w:val="0004424C"/>
    <w:rsid w:val="0004438A"/>
    <w:rsid w:val="00044898"/>
    <w:rsid w:val="00044E81"/>
    <w:rsid w:val="00044FA9"/>
    <w:rsid w:val="00045BD0"/>
    <w:rsid w:val="00045CCB"/>
    <w:rsid w:val="0004613A"/>
    <w:rsid w:val="00046168"/>
    <w:rsid w:val="0004634C"/>
    <w:rsid w:val="00046827"/>
    <w:rsid w:val="000468D2"/>
    <w:rsid w:val="00046CEA"/>
    <w:rsid w:val="0004713A"/>
    <w:rsid w:val="00047EBB"/>
    <w:rsid w:val="000500B3"/>
    <w:rsid w:val="00050110"/>
    <w:rsid w:val="00050656"/>
    <w:rsid w:val="0005164C"/>
    <w:rsid w:val="00051772"/>
    <w:rsid w:val="00051D78"/>
    <w:rsid w:val="000521DA"/>
    <w:rsid w:val="0005230B"/>
    <w:rsid w:val="00052D29"/>
    <w:rsid w:val="00052F6F"/>
    <w:rsid w:val="000534BA"/>
    <w:rsid w:val="000543B5"/>
    <w:rsid w:val="0005678B"/>
    <w:rsid w:val="000572CE"/>
    <w:rsid w:val="00057D46"/>
    <w:rsid w:val="00057E58"/>
    <w:rsid w:val="00060E67"/>
    <w:rsid w:val="00060F8C"/>
    <w:rsid w:val="000617A1"/>
    <w:rsid w:val="00061B0D"/>
    <w:rsid w:val="00061C4C"/>
    <w:rsid w:val="00061DFA"/>
    <w:rsid w:val="00061E43"/>
    <w:rsid w:val="00061E8B"/>
    <w:rsid w:val="00062308"/>
    <w:rsid w:val="000623E2"/>
    <w:rsid w:val="00062FD3"/>
    <w:rsid w:val="0006325C"/>
    <w:rsid w:val="00063FC2"/>
    <w:rsid w:val="000642F9"/>
    <w:rsid w:val="00064348"/>
    <w:rsid w:val="00064E54"/>
    <w:rsid w:val="000650FF"/>
    <w:rsid w:val="000654E1"/>
    <w:rsid w:val="00066994"/>
    <w:rsid w:val="00066ABC"/>
    <w:rsid w:val="000670ED"/>
    <w:rsid w:val="00067294"/>
    <w:rsid w:val="00067711"/>
    <w:rsid w:val="0007072B"/>
    <w:rsid w:val="00070D1A"/>
    <w:rsid w:val="00070D1D"/>
    <w:rsid w:val="00071ED8"/>
    <w:rsid w:val="00072555"/>
    <w:rsid w:val="00072866"/>
    <w:rsid w:val="00072A27"/>
    <w:rsid w:val="00072EC3"/>
    <w:rsid w:val="00072F41"/>
    <w:rsid w:val="00073BBF"/>
    <w:rsid w:val="00074B76"/>
    <w:rsid w:val="00074CF7"/>
    <w:rsid w:val="00074EA2"/>
    <w:rsid w:val="00075193"/>
    <w:rsid w:val="00075484"/>
    <w:rsid w:val="0007575B"/>
    <w:rsid w:val="0007594F"/>
    <w:rsid w:val="00075D37"/>
    <w:rsid w:val="0007619A"/>
    <w:rsid w:val="00076551"/>
    <w:rsid w:val="00076961"/>
    <w:rsid w:val="000769D2"/>
    <w:rsid w:val="00076C32"/>
    <w:rsid w:val="0007703B"/>
    <w:rsid w:val="000770A2"/>
    <w:rsid w:val="00077A81"/>
    <w:rsid w:val="00077FAE"/>
    <w:rsid w:val="0008000F"/>
    <w:rsid w:val="00080DC6"/>
    <w:rsid w:val="00080E9D"/>
    <w:rsid w:val="00080FA0"/>
    <w:rsid w:val="00080FCF"/>
    <w:rsid w:val="00081270"/>
    <w:rsid w:val="00081736"/>
    <w:rsid w:val="0008216B"/>
    <w:rsid w:val="000823AB"/>
    <w:rsid w:val="00082980"/>
    <w:rsid w:val="00082B39"/>
    <w:rsid w:val="0008335D"/>
    <w:rsid w:val="000837BE"/>
    <w:rsid w:val="000839D1"/>
    <w:rsid w:val="00083A18"/>
    <w:rsid w:val="00083CA8"/>
    <w:rsid w:val="00083CC8"/>
    <w:rsid w:val="00083EB3"/>
    <w:rsid w:val="000841F7"/>
    <w:rsid w:val="000844A0"/>
    <w:rsid w:val="000845EC"/>
    <w:rsid w:val="00084607"/>
    <w:rsid w:val="000848AA"/>
    <w:rsid w:val="000849C6"/>
    <w:rsid w:val="00084A06"/>
    <w:rsid w:val="00084A4B"/>
    <w:rsid w:val="00084DED"/>
    <w:rsid w:val="00085006"/>
    <w:rsid w:val="00086423"/>
    <w:rsid w:val="00087D69"/>
    <w:rsid w:val="00090A06"/>
    <w:rsid w:val="00090A1A"/>
    <w:rsid w:val="00090B39"/>
    <w:rsid w:val="00091076"/>
    <w:rsid w:val="000910CD"/>
    <w:rsid w:val="00092B0A"/>
    <w:rsid w:val="00092C73"/>
    <w:rsid w:val="00092D56"/>
    <w:rsid w:val="000934EE"/>
    <w:rsid w:val="000944C5"/>
    <w:rsid w:val="0009454D"/>
    <w:rsid w:val="0009587D"/>
    <w:rsid w:val="000959EB"/>
    <w:rsid w:val="000961C5"/>
    <w:rsid w:val="0009650A"/>
    <w:rsid w:val="00096D6E"/>
    <w:rsid w:val="000971A6"/>
    <w:rsid w:val="000975F6"/>
    <w:rsid w:val="0009799C"/>
    <w:rsid w:val="00097DE8"/>
    <w:rsid w:val="000A01B9"/>
    <w:rsid w:val="000A0ECA"/>
    <w:rsid w:val="000A3036"/>
    <w:rsid w:val="000A3123"/>
    <w:rsid w:val="000A39AB"/>
    <w:rsid w:val="000A43C2"/>
    <w:rsid w:val="000A50E3"/>
    <w:rsid w:val="000A62A8"/>
    <w:rsid w:val="000A6DAC"/>
    <w:rsid w:val="000A73BF"/>
    <w:rsid w:val="000A7C2F"/>
    <w:rsid w:val="000A7FDA"/>
    <w:rsid w:val="000B0640"/>
    <w:rsid w:val="000B0BF5"/>
    <w:rsid w:val="000B1067"/>
    <w:rsid w:val="000B12B1"/>
    <w:rsid w:val="000B144A"/>
    <w:rsid w:val="000B17BF"/>
    <w:rsid w:val="000B1C7E"/>
    <w:rsid w:val="000B1CED"/>
    <w:rsid w:val="000B24DD"/>
    <w:rsid w:val="000B2BCC"/>
    <w:rsid w:val="000B3891"/>
    <w:rsid w:val="000B45C7"/>
    <w:rsid w:val="000B4CA1"/>
    <w:rsid w:val="000B5020"/>
    <w:rsid w:val="000B5AE8"/>
    <w:rsid w:val="000B5AED"/>
    <w:rsid w:val="000B6A94"/>
    <w:rsid w:val="000B6F51"/>
    <w:rsid w:val="000B7FD8"/>
    <w:rsid w:val="000C0609"/>
    <w:rsid w:val="000C0B34"/>
    <w:rsid w:val="000C1095"/>
    <w:rsid w:val="000C1489"/>
    <w:rsid w:val="000C14B4"/>
    <w:rsid w:val="000C1547"/>
    <w:rsid w:val="000C1EC0"/>
    <w:rsid w:val="000C1F1E"/>
    <w:rsid w:val="000C2EBB"/>
    <w:rsid w:val="000C2FBD"/>
    <w:rsid w:val="000C3106"/>
    <w:rsid w:val="000C331A"/>
    <w:rsid w:val="000C3A01"/>
    <w:rsid w:val="000C3AA1"/>
    <w:rsid w:val="000C40D0"/>
    <w:rsid w:val="000C492A"/>
    <w:rsid w:val="000C4B71"/>
    <w:rsid w:val="000C4D79"/>
    <w:rsid w:val="000C5FA3"/>
    <w:rsid w:val="000C6627"/>
    <w:rsid w:val="000C7049"/>
    <w:rsid w:val="000C722A"/>
    <w:rsid w:val="000C743F"/>
    <w:rsid w:val="000C7467"/>
    <w:rsid w:val="000C7528"/>
    <w:rsid w:val="000C7BDA"/>
    <w:rsid w:val="000D022A"/>
    <w:rsid w:val="000D082C"/>
    <w:rsid w:val="000D0C55"/>
    <w:rsid w:val="000D15CC"/>
    <w:rsid w:val="000D1FE3"/>
    <w:rsid w:val="000D2152"/>
    <w:rsid w:val="000D219C"/>
    <w:rsid w:val="000D2D73"/>
    <w:rsid w:val="000D3143"/>
    <w:rsid w:val="000D32A4"/>
    <w:rsid w:val="000D39A6"/>
    <w:rsid w:val="000D3D4B"/>
    <w:rsid w:val="000D3D57"/>
    <w:rsid w:val="000D3D81"/>
    <w:rsid w:val="000D3E8D"/>
    <w:rsid w:val="000D4092"/>
    <w:rsid w:val="000D43CE"/>
    <w:rsid w:val="000D47FF"/>
    <w:rsid w:val="000D4A08"/>
    <w:rsid w:val="000D5A86"/>
    <w:rsid w:val="000D5AC1"/>
    <w:rsid w:val="000D5BB4"/>
    <w:rsid w:val="000D64AB"/>
    <w:rsid w:val="000D65F6"/>
    <w:rsid w:val="000D6F15"/>
    <w:rsid w:val="000D73F5"/>
    <w:rsid w:val="000D787B"/>
    <w:rsid w:val="000D7934"/>
    <w:rsid w:val="000D7C63"/>
    <w:rsid w:val="000E0256"/>
    <w:rsid w:val="000E0CAC"/>
    <w:rsid w:val="000E0DA2"/>
    <w:rsid w:val="000E1BEB"/>
    <w:rsid w:val="000E224A"/>
    <w:rsid w:val="000E243E"/>
    <w:rsid w:val="000E27B7"/>
    <w:rsid w:val="000E2C09"/>
    <w:rsid w:val="000E3177"/>
    <w:rsid w:val="000E3DB7"/>
    <w:rsid w:val="000E3FD7"/>
    <w:rsid w:val="000E47BB"/>
    <w:rsid w:val="000E4EDF"/>
    <w:rsid w:val="000E631F"/>
    <w:rsid w:val="000E6B08"/>
    <w:rsid w:val="000E6C93"/>
    <w:rsid w:val="000E6E83"/>
    <w:rsid w:val="000E704D"/>
    <w:rsid w:val="000E7182"/>
    <w:rsid w:val="000E759A"/>
    <w:rsid w:val="000F0DC4"/>
    <w:rsid w:val="000F1735"/>
    <w:rsid w:val="000F25E3"/>
    <w:rsid w:val="000F269C"/>
    <w:rsid w:val="000F2794"/>
    <w:rsid w:val="000F2BD6"/>
    <w:rsid w:val="000F36E7"/>
    <w:rsid w:val="000F3AF7"/>
    <w:rsid w:val="000F4471"/>
    <w:rsid w:val="000F51EA"/>
    <w:rsid w:val="000F57E1"/>
    <w:rsid w:val="000F5CE5"/>
    <w:rsid w:val="000F6DD2"/>
    <w:rsid w:val="000F7470"/>
    <w:rsid w:val="000F789A"/>
    <w:rsid w:val="000F7B92"/>
    <w:rsid w:val="000F7D0C"/>
    <w:rsid w:val="000F7F2B"/>
    <w:rsid w:val="00100133"/>
    <w:rsid w:val="00100309"/>
    <w:rsid w:val="001004BE"/>
    <w:rsid w:val="001006C8"/>
    <w:rsid w:val="00100C89"/>
    <w:rsid w:val="00100D55"/>
    <w:rsid w:val="00101E9D"/>
    <w:rsid w:val="00101EDA"/>
    <w:rsid w:val="0010236F"/>
    <w:rsid w:val="0010250D"/>
    <w:rsid w:val="001026D9"/>
    <w:rsid w:val="00102897"/>
    <w:rsid w:val="00102DF7"/>
    <w:rsid w:val="0010332E"/>
    <w:rsid w:val="001036B1"/>
    <w:rsid w:val="00103879"/>
    <w:rsid w:val="00103C01"/>
    <w:rsid w:val="00104438"/>
    <w:rsid w:val="00104E5A"/>
    <w:rsid w:val="00104FC2"/>
    <w:rsid w:val="001058E7"/>
    <w:rsid w:val="00105DC7"/>
    <w:rsid w:val="00107E7A"/>
    <w:rsid w:val="00111DAE"/>
    <w:rsid w:val="00111F5B"/>
    <w:rsid w:val="00112671"/>
    <w:rsid w:val="001130ED"/>
    <w:rsid w:val="00113433"/>
    <w:rsid w:val="00113BE0"/>
    <w:rsid w:val="00113C1E"/>
    <w:rsid w:val="0011413E"/>
    <w:rsid w:val="001141D8"/>
    <w:rsid w:val="001148EF"/>
    <w:rsid w:val="0011592E"/>
    <w:rsid w:val="001161C1"/>
    <w:rsid w:val="00116B8E"/>
    <w:rsid w:val="00116F3C"/>
    <w:rsid w:val="00120500"/>
    <w:rsid w:val="00121638"/>
    <w:rsid w:val="00122097"/>
    <w:rsid w:val="0012346B"/>
    <w:rsid w:val="00123801"/>
    <w:rsid w:val="00123BE7"/>
    <w:rsid w:val="00123FD9"/>
    <w:rsid w:val="00124253"/>
    <w:rsid w:val="00124599"/>
    <w:rsid w:val="00126357"/>
    <w:rsid w:val="00126DCB"/>
    <w:rsid w:val="00126E5C"/>
    <w:rsid w:val="00127853"/>
    <w:rsid w:val="00127BBD"/>
    <w:rsid w:val="00127D8F"/>
    <w:rsid w:val="0013169F"/>
    <w:rsid w:val="001317EC"/>
    <w:rsid w:val="0013288F"/>
    <w:rsid w:val="001329D2"/>
    <w:rsid w:val="00132F7C"/>
    <w:rsid w:val="00133344"/>
    <w:rsid w:val="00133897"/>
    <w:rsid w:val="001343B2"/>
    <w:rsid w:val="00134BE1"/>
    <w:rsid w:val="001353EE"/>
    <w:rsid w:val="0013560B"/>
    <w:rsid w:val="001357DC"/>
    <w:rsid w:val="001362E4"/>
    <w:rsid w:val="00136503"/>
    <w:rsid w:val="00136857"/>
    <w:rsid w:val="0013718B"/>
    <w:rsid w:val="00137A63"/>
    <w:rsid w:val="00137C0F"/>
    <w:rsid w:val="00137C9F"/>
    <w:rsid w:val="00137FE4"/>
    <w:rsid w:val="00140399"/>
    <w:rsid w:val="001406FA"/>
    <w:rsid w:val="00141658"/>
    <w:rsid w:val="001424AA"/>
    <w:rsid w:val="001435CE"/>
    <w:rsid w:val="00143708"/>
    <w:rsid w:val="00143DE6"/>
    <w:rsid w:val="00144113"/>
    <w:rsid w:val="001441A3"/>
    <w:rsid w:val="001442BE"/>
    <w:rsid w:val="00144565"/>
    <w:rsid w:val="001448FE"/>
    <w:rsid w:val="00145ABB"/>
    <w:rsid w:val="00146031"/>
    <w:rsid w:val="001464EE"/>
    <w:rsid w:val="00146CC4"/>
    <w:rsid w:val="00147522"/>
    <w:rsid w:val="001479D4"/>
    <w:rsid w:val="00147C9A"/>
    <w:rsid w:val="0015002A"/>
    <w:rsid w:val="001501F7"/>
    <w:rsid w:val="001503CE"/>
    <w:rsid w:val="00150639"/>
    <w:rsid w:val="001509F9"/>
    <w:rsid w:val="00150EC1"/>
    <w:rsid w:val="00151100"/>
    <w:rsid w:val="001511F4"/>
    <w:rsid w:val="00151864"/>
    <w:rsid w:val="00151D39"/>
    <w:rsid w:val="00152D19"/>
    <w:rsid w:val="0015326F"/>
    <w:rsid w:val="00154412"/>
    <w:rsid w:val="001548D7"/>
    <w:rsid w:val="00154C61"/>
    <w:rsid w:val="00154D58"/>
    <w:rsid w:val="00155356"/>
    <w:rsid w:val="001558E0"/>
    <w:rsid w:val="0015663B"/>
    <w:rsid w:val="00156B7F"/>
    <w:rsid w:val="001570AF"/>
    <w:rsid w:val="001575CF"/>
    <w:rsid w:val="00157C4F"/>
    <w:rsid w:val="00157D35"/>
    <w:rsid w:val="00160463"/>
    <w:rsid w:val="0016148D"/>
    <w:rsid w:val="00161BAD"/>
    <w:rsid w:val="00161D46"/>
    <w:rsid w:val="00161D77"/>
    <w:rsid w:val="00161DEA"/>
    <w:rsid w:val="0016243E"/>
    <w:rsid w:val="0016256E"/>
    <w:rsid w:val="001626C9"/>
    <w:rsid w:val="00162B14"/>
    <w:rsid w:val="00162CFC"/>
    <w:rsid w:val="001632CF"/>
    <w:rsid w:val="00163E83"/>
    <w:rsid w:val="00163FB6"/>
    <w:rsid w:val="00164204"/>
    <w:rsid w:val="001647DF"/>
    <w:rsid w:val="00164ABE"/>
    <w:rsid w:val="001654FB"/>
    <w:rsid w:val="00165512"/>
    <w:rsid w:val="00165F30"/>
    <w:rsid w:val="00166314"/>
    <w:rsid w:val="00166670"/>
    <w:rsid w:val="00167873"/>
    <w:rsid w:val="00167B2A"/>
    <w:rsid w:val="001717A8"/>
    <w:rsid w:val="001719E7"/>
    <w:rsid w:val="00171BC1"/>
    <w:rsid w:val="00172672"/>
    <w:rsid w:val="001733E6"/>
    <w:rsid w:val="001734CB"/>
    <w:rsid w:val="001737C5"/>
    <w:rsid w:val="00174370"/>
    <w:rsid w:val="00174758"/>
    <w:rsid w:val="00174FBD"/>
    <w:rsid w:val="001756F7"/>
    <w:rsid w:val="00175879"/>
    <w:rsid w:val="00175AF1"/>
    <w:rsid w:val="00175B0B"/>
    <w:rsid w:val="00175EC7"/>
    <w:rsid w:val="00175F36"/>
    <w:rsid w:val="001760C3"/>
    <w:rsid w:val="0017626F"/>
    <w:rsid w:val="0017671D"/>
    <w:rsid w:val="0017674E"/>
    <w:rsid w:val="00176A59"/>
    <w:rsid w:val="00176CCC"/>
    <w:rsid w:val="001770C7"/>
    <w:rsid w:val="0017737E"/>
    <w:rsid w:val="0017747F"/>
    <w:rsid w:val="00177FA5"/>
    <w:rsid w:val="001800B7"/>
    <w:rsid w:val="00181D9D"/>
    <w:rsid w:val="00181EE3"/>
    <w:rsid w:val="00182054"/>
    <w:rsid w:val="0018219B"/>
    <w:rsid w:val="0018263E"/>
    <w:rsid w:val="00183873"/>
    <w:rsid w:val="00184536"/>
    <w:rsid w:val="00184F21"/>
    <w:rsid w:val="00185331"/>
    <w:rsid w:val="00185414"/>
    <w:rsid w:val="001857F6"/>
    <w:rsid w:val="00185A6B"/>
    <w:rsid w:val="00185B38"/>
    <w:rsid w:val="00185FAE"/>
    <w:rsid w:val="00186C58"/>
    <w:rsid w:val="00186DD5"/>
    <w:rsid w:val="00187D3C"/>
    <w:rsid w:val="00187F3E"/>
    <w:rsid w:val="001900F5"/>
    <w:rsid w:val="00190D62"/>
    <w:rsid w:val="001917E6"/>
    <w:rsid w:val="00191A1A"/>
    <w:rsid w:val="00191F1E"/>
    <w:rsid w:val="001925E7"/>
    <w:rsid w:val="00192721"/>
    <w:rsid w:val="00192B99"/>
    <w:rsid w:val="001931C1"/>
    <w:rsid w:val="0019396A"/>
    <w:rsid w:val="00194406"/>
    <w:rsid w:val="001945F2"/>
    <w:rsid w:val="00194937"/>
    <w:rsid w:val="001952DB"/>
    <w:rsid w:val="00195801"/>
    <w:rsid w:val="001A0228"/>
    <w:rsid w:val="001A0A99"/>
    <w:rsid w:val="001A0C4B"/>
    <w:rsid w:val="001A0EF4"/>
    <w:rsid w:val="001A1863"/>
    <w:rsid w:val="001A1F80"/>
    <w:rsid w:val="001A236C"/>
    <w:rsid w:val="001A2ACD"/>
    <w:rsid w:val="001A31A9"/>
    <w:rsid w:val="001A31D9"/>
    <w:rsid w:val="001A3C2D"/>
    <w:rsid w:val="001A3EB8"/>
    <w:rsid w:val="001A49CB"/>
    <w:rsid w:val="001A4C79"/>
    <w:rsid w:val="001A4E72"/>
    <w:rsid w:val="001A55FF"/>
    <w:rsid w:val="001A5C9D"/>
    <w:rsid w:val="001A6347"/>
    <w:rsid w:val="001A6495"/>
    <w:rsid w:val="001A686E"/>
    <w:rsid w:val="001A68C3"/>
    <w:rsid w:val="001A6A77"/>
    <w:rsid w:val="001A6B46"/>
    <w:rsid w:val="001A6EE0"/>
    <w:rsid w:val="001A742C"/>
    <w:rsid w:val="001A7931"/>
    <w:rsid w:val="001A7EE2"/>
    <w:rsid w:val="001B0A73"/>
    <w:rsid w:val="001B11AA"/>
    <w:rsid w:val="001B146E"/>
    <w:rsid w:val="001B1A36"/>
    <w:rsid w:val="001B1B62"/>
    <w:rsid w:val="001B1C09"/>
    <w:rsid w:val="001B2DFC"/>
    <w:rsid w:val="001B3435"/>
    <w:rsid w:val="001B3EA8"/>
    <w:rsid w:val="001B42F8"/>
    <w:rsid w:val="001B4961"/>
    <w:rsid w:val="001B4DFB"/>
    <w:rsid w:val="001B4ED5"/>
    <w:rsid w:val="001B51A6"/>
    <w:rsid w:val="001B51F7"/>
    <w:rsid w:val="001B5963"/>
    <w:rsid w:val="001B5CAB"/>
    <w:rsid w:val="001B631B"/>
    <w:rsid w:val="001B6E96"/>
    <w:rsid w:val="001B7D8B"/>
    <w:rsid w:val="001C032B"/>
    <w:rsid w:val="001C04F0"/>
    <w:rsid w:val="001C10FE"/>
    <w:rsid w:val="001C1B9F"/>
    <w:rsid w:val="001C1C77"/>
    <w:rsid w:val="001C1F90"/>
    <w:rsid w:val="001C237B"/>
    <w:rsid w:val="001C29BB"/>
    <w:rsid w:val="001C2EC1"/>
    <w:rsid w:val="001C30C7"/>
    <w:rsid w:val="001C33E2"/>
    <w:rsid w:val="001C3488"/>
    <w:rsid w:val="001C3CA5"/>
    <w:rsid w:val="001C3CF2"/>
    <w:rsid w:val="001C3EBD"/>
    <w:rsid w:val="001C41CF"/>
    <w:rsid w:val="001C41D9"/>
    <w:rsid w:val="001C4358"/>
    <w:rsid w:val="001C47F4"/>
    <w:rsid w:val="001C494A"/>
    <w:rsid w:val="001C517A"/>
    <w:rsid w:val="001C53CD"/>
    <w:rsid w:val="001C551F"/>
    <w:rsid w:val="001C57BB"/>
    <w:rsid w:val="001C5FC2"/>
    <w:rsid w:val="001C6115"/>
    <w:rsid w:val="001C71CB"/>
    <w:rsid w:val="001C7E24"/>
    <w:rsid w:val="001C7EB9"/>
    <w:rsid w:val="001D0680"/>
    <w:rsid w:val="001D09C5"/>
    <w:rsid w:val="001D1D6F"/>
    <w:rsid w:val="001D1E63"/>
    <w:rsid w:val="001D2297"/>
    <w:rsid w:val="001D24C6"/>
    <w:rsid w:val="001D2B04"/>
    <w:rsid w:val="001D3937"/>
    <w:rsid w:val="001D3E99"/>
    <w:rsid w:val="001D40BC"/>
    <w:rsid w:val="001D4205"/>
    <w:rsid w:val="001D4B3A"/>
    <w:rsid w:val="001D4B6F"/>
    <w:rsid w:val="001D61E2"/>
    <w:rsid w:val="001D621D"/>
    <w:rsid w:val="001D62EC"/>
    <w:rsid w:val="001D62F0"/>
    <w:rsid w:val="001D6376"/>
    <w:rsid w:val="001D653C"/>
    <w:rsid w:val="001D678A"/>
    <w:rsid w:val="001D751B"/>
    <w:rsid w:val="001D77D3"/>
    <w:rsid w:val="001D7905"/>
    <w:rsid w:val="001D7BDA"/>
    <w:rsid w:val="001D7D5C"/>
    <w:rsid w:val="001D7EF2"/>
    <w:rsid w:val="001E02E8"/>
    <w:rsid w:val="001E03A3"/>
    <w:rsid w:val="001E059D"/>
    <w:rsid w:val="001E0848"/>
    <w:rsid w:val="001E099D"/>
    <w:rsid w:val="001E0A2E"/>
    <w:rsid w:val="001E0D40"/>
    <w:rsid w:val="001E1091"/>
    <w:rsid w:val="001E10E5"/>
    <w:rsid w:val="001E119C"/>
    <w:rsid w:val="001E16F8"/>
    <w:rsid w:val="001E1712"/>
    <w:rsid w:val="001E19E5"/>
    <w:rsid w:val="001E1D77"/>
    <w:rsid w:val="001E22E4"/>
    <w:rsid w:val="001E2479"/>
    <w:rsid w:val="001E2494"/>
    <w:rsid w:val="001E2B78"/>
    <w:rsid w:val="001E311B"/>
    <w:rsid w:val="001E33EF"/>
    <w:rsid w:val="001E3474"/>
    <w:rsid w:val="001E3484"/>
    <w:rsid w:val="001E356A"/>
    <w:rsid w:val="001E35D7"/>
    <w:rsid w:val="001E393E"/>
    <w:rsid w:val="001E395A"/>
    <w:rsid w:val="001E3A1F"/>
    <w:rsid w:val="001E3E0A"/>
    <w:rsid w:val="001E3F41"/>
    <w:rsid w:val="001E44B3"/>
    <w:rsid w:val="001E4932"/>
    <w:rsid w:val="001E4C5F"/>
    <w:rsid w:val="001E4E2C"/>
    <w:rsid w:val="001E4E5C"/>
    <w:rsid w:val="001E4E7E"/>
    <w:rsid w:val="001E4F12"/>
    <w:rsid w:val="001E6094"/>
    <w:rsid w:val="001E660C"/>
    <w:rsid w:val="001E6C27"/>
    <w:rsid w:val="001E6E52"/>
    <w:rsid w:val="001E6FE6"/>
    <w:rsid w:val="001E7593"/>
    <w:rsid w:val="001E78F3"/>
    <w:rsid w:val="001E7B26"/>
    <w:rsid w:val="001F0C60"/>
    <w:rsid w:val="001F13CE"/>
    <w:rsid w:val="001F1822"/>
    <w:rsid w:val="001F1B62"/>
    <w:rsid w:val="001F21A7"/>
    <w:rsid w:val="001F39D5"/>
    <w:rsid w:val="001F3A04"/>
    <w:rsid w:val="001F3D7B"/>
    <w:rsid w:val="001F3DC1"/>
    <w:rsid w:val="001F406C"/>
    <w:rsid w:val="001F42ED"/>
    <w:rsid w:val="001F47D9"/>
    <w:rsid w:val="001F5717"/>
    <w:rsid w:val="001F5DC8"/>
    <w:rsid w:val="001F6665"/>
    <w:rsid w:val="001F6FA9"/>
    <w:rsid w:val="001F7194"/>
    <w:rsid w:val="001F729E"/>
    <w:rsid w:val="001F74B3"/>
    <w:rsid w:val="001F79B9"/>
    <w:rsid w:val="002001CF"/>
    <w:rsid w:val="00200A82"/>
    <w:rsid w:val="0020198C"/>
    <w:rsid w:val="00201C8C"/>
    <w:rsid w:val="002039C5"/>
    <w:rsid w:val="00203D85"/>
    <w:rsid w:val="00204310"/>
    <w:rsid w:val="002047FC"/>
    <w:rsid w:val="002049DE"/>
    <w:rsid w:val="00205355"/>
    <w:rsid w:val="00205D66"/>
    <w:rsid w:val="0020647F"/>
    <w:rsid w:val="00206E2F"/>
    <w:rsid w:val="00207341"/>
    <w:rsid w:val="00207648"/>
    <w:rsid w:val="00207CF7"/>
    <w:rsid w:val="00210170"/>
    <w:rsid w:val="00210177"/>
    <w:rsid w:val="0021061A"/>
    <w:rsid w:val="002109ED"/>
    <w:rsid w:val="002115BC"/>
    <w:rsid w:val="00212440"/>
    <w:rsid w:val="00212751"/>
    <w:rsid w:val="00212E46"/>
    <w:rsid w:val="00213627"/>
    <w:rsid w:val="00213663"/>
    <w:rsid w:val="002139A6"/>
    <w:rsid w:val="00214082"/>
    <w:rsid w:val="00214361"/>
    <w:rsid w:val="00215202"/>
    <w:rsid w:val="00215248"/>
    <w:rsid w:val="0021590A"/>
    <w:rsid w:val="00215A80"/>
    <w:rsid w:val="00215CBE"/>
    <w:rsid w:val="0021607C"/>
    <w:rsid w:val="002162C7"/>
    <w:rsid w:val="00216389"/>
    <w:rsid w:val="002167E5"/>
    <w:rsid w:val="00216826"/>
    <w:rsid w:val="00217A5D"/>
    <w:rsid w:val="00220602"/>
    <w:rsid w:val="00220B1B"/>
    <w:rsid w:val="00221D8B"/>
    <w:rsid w:val="002222B9"/>
    <w:rsid w:val="0022256A"/>
    <w:rsid w:val="00222609"/>
    <w:rsid w:val="00222E30"/>
    <w:rsid w:val="00223251"/>
    <w:rsid w:val="002241B3"/>
    <w:rsid w:val="00224545"/>
    <w:rsid w:val="002250A6"/>
    <w:rsid w:val="00225D1A"/>
    <w:rsid w:val="0022624D"/>
    <w:rsid w:val="00226359"/>
    <w:rsid w:val="00226369"/>
    <w:rsid w:val="00226856"/>
    <w:rsid w:val="0022697C"/>
    <w:rsid w:val="0022785E"/>
    <w:rsid w:val="002279C6"/>
    <w:rsid w:val="00227C54"/>
    <w:rsid w:val="00227EB3"/>
    <w:rsid w:val="00227FC2"/>
    <w:rsid w:val="00230157"/>
    <w:rsid w:val="00231038"/>
    <w:rsid w:val="0023168A"/>
    <w:rsid w:val="00232023"/>
    <w:rsid w:val="00232156"/>
    <w:rsid w:val="00232737"/>
    <w:rsid w:val="00232761"/>
    <w:rsid w:val="00232FDF"/>
    <w:rsid w:val="00233720"/>
    <w:rsid w:val="00233E19"/>
    <w:rsid w:val="00235056"/>
    <w:rsid w:val="00235A5B"/>
    <w:rsid w:val="00235E99"/>
    <w:rsid w:val="00236068"/>
    <w:rsid w:val="00236161"/>
    <w:rsid w:val="002361BF"/>
    <w:rsid w:val="00236687"/>
    <w:rsid w:val="002369A6"/>
    <w:rsid w:val="00236DE8"/>
    <w:rsid w:val="00236F1B"/>
    <w:rsid w:val="00237303"/>
    <w:rsid w:val="0024001F"/>
    <w:rsid w:val="002404D8"/>
    <w:rsid w:val="0024056C"/>
    <w:rsid w:val="00240A14"/>
    <w:rsid w:val="00241200"/>
    <w:rsid w:val="00241925"/>
    <w:rsid w:val="0024223C"/>
    <w:rsid w:val="0024233C"/>
    <w:rsid w:val="0024399B"/>
    <w:rsid w:val="00244456"/>
    <w:rsid w:val="00244E02"/>
    <w:rsid w:val="0024587F"/>
    <w:rsid w:val="002459E5"/>
    <w:rsid w:val="00245FA3"/>
    <w:rsid w:val="0024600F"/>
    <w:rsid w:val="00246010"/>
    <w:rsid w:val="00246136"/>
    <w:rsid w:val="002461BE"/>
    <w:rsid w:val="00246201"/>
    <w:rsid w:val="00246B3B"/>
    <w:rsid w:val="00246C8E"/>
    <w:rsid w:val="0024705B"/>
    <w:rsid w:val="00247E55"/>
    <w:rsid w:val="00250477"/>
    <w:rsid w:val="00251453"/>
    <w:rsid w:val="00251CC0"/>
    <w:rsid w:val="00251F4F"/>
    <w:rsid w:val="0025250E"/>
    <w:rsid w:val="00253BC6"/>
    <w:rsid w:val="00253F37"/>
    <w:rsid w:val="0025452A"/>
    <w:rsid w:val="002546B6"/>
    <w:rsid w:val="00254794"/>
    <w:rsid w:val="00254C82"/>
    <w:rsid w:val="00254CC1"/>
    <w:rsid w:val="00255F05"/>
    <w:rsid w:val="00257143"/>
    <w:rsid w:val="0025735B"/>
    <w:rsid w:val="002574E7"/>
    <w:rsid w:val="00261169"/>
    <w:rsid w:val="00261BEC"/>
    <w:rsid w:val="00261C05"/>
    <w:rsid w:val="002623F6"/>
    <w:rsid w:val="002629EB"/>
    <w:rsid w:val="0026353D"/>
    <w:rsid w:val="002635DF"/>
    <w:rsid w:val="00263731"/>
    <w:rsid w:val="00263E05"/>
    <w:rsid w:val="00263EE1"/>
    <w:rsid w:val="002642DF"/>
    <w:rsid w:val="002648BC"/>
    <w:rsid w:val="00264F88"/>
    <w:rsid w:val="00265415"/>
    <w:rsid w:val="0026588D"/>
    <w:rsid w:val="00265E71"/>
    <w:rsid w:val="00265FA0"/>
    <w:rsid w:val="002661DB"/>
    <w:rsid w:val="002667CD"/>
    <w:rsid w:val="00266C0B"/>
    <w:rsid w:val="00266FA5"/>
    <w:rsid w:val="00267225"/>
    <w:rsid w:val="00267618"/>
    <w:rsid w:val="002679BD"/>
    <w:rsid w:val="00267A85"/>
    <w:rsid w:val="00267EDD"/>
    <w:rsid w:val="0027009D"/>
    <w:rsid w:val="0027054E"/>
    <w:rsid w:val="00270681"/>
    <w:rsid w:val="002706AA"/>
    <w:rsid w:val="002707C0"/>
    <w:rsid w:val="00270CB6"/>
    <w:rsid w:val="00271100"/>
    <w:rsid w:val="00271107"/>
    <w:rsid w:val="00271E50"/>
    <w:rsid w:val="00272C46"/>
    <w:rsid w:val="00272F01"/>
    <w:rsid w:val="0027349D"/>
    <w:rsid w:val="00273974"/>
    <w:rsid w:val="00273A6D"/>
    <w:rsid w:val="0027434E"/>
    <w:rsid w:val="002743D1"/>
    <w:rsid w:val="00274527"/>
    <w:rsid w:val="00274876"/>
    <w:rsid w:val="0027630A"/>
    <w:rsid w:val="0027668D"/>
    <w:rsid w:val="00276774"/>
    <w:rsid w:val="002767B1"/>
    <w:rsid w:val="00276B3C"/>
    <w:rsid w:val="00277C43"/>
    <w:rsid w:val="00277C68"/>
    <w:rsid w:val="00277F31"/>
    <w:rsid w:val="002801A6"/>
    <w:rsid w:val="00280571"/>
    <w:rsid w:val="0028225D"/>
    <w:rsid w:val="00282947"/>
    <w:rsid w:val="00282974"/>
    <w:rsid w:val="00283589"/>
    <w:rsid w:val="00283B26"/>
    <w:rsid w:val="00283B61"/>
    <w:rsid w:val="00283D97"/>
    <w:rsid w:val="00283F03"/>
    <w:rsid w:val="00283F7E"/>
    <w:rsid w:val="0028407D"/>
    <w:rsid w:val="002842AC"/>
    <w:rsid w:val="0028445F"/>
    <w:rsid w:val="00284801"/>
    <w:rsid w:val="00285229"/>
    <w:rsid w:val="00285E20"/>
    <w:rsid w:val="0028653C"/>
    <w:rsid w:val="002866C4"/>
    <w:rsid w:val="00286792"/>
    <w:rsid w:val="00286C3A"/>
    <w:rsid w:val="00286FD5"/>
    <w:rsid w:val="002872CF"/>
    <w:rsid w:val="002879EB"/>
    <w:rsid w:val="00287D78"/>
    <w:rsid w:val="0029079F"/>
    <w:rsid w:val="00290FAA"/>
    <w:rsid w:val="002910BC"/>
    <w:rsid w:val="002911AE"/>
    <w:rsid w:val="00291600"/>
    <w:rsid w:val="00291635"/>
    <w:rsid w:val="00291E9F"/>
    <w:rsid w:val="002922E4"/>
    <w:rsid w:val="00292333"/>
    <w:rsid w:val="00292548"/>
    <w:rsid w:val="00292843"/>
    <w:rsid w:val="00292F7D"/>
    <w:rsid w:val="00293349"/>
    <w:rsid w:val="00294036"/>
    <w:rsid w:val="0029471B"/>
    <w:rsid w:val="00294B29"/>
    <w:rsid w:val="00294F62"/>
    <w:rsid w:val="00295866"/>
    <w:rsid w:val="00295982"/>
    <w:rsid w:val="002960BF"/>
    <w:rsid w:val="0029673A"/>
    <w:rsid w:val="00297698"/>
    <w:rsid w:val="002976D4"/>
    <w:rsid w:val="002979D9"/>
    <w:rsid w:val="00297A0B"/>
    <w:rsid w:val="00297C93"/>
    <w:rsid w:val="00297E96"/>
    <w:rsid w:val="002A0043"/>
    <w:rsid w:val="002A0927"/>
    <w:rsid w:val="002A16C8"/>
    <w:rsid w:val="002A180D"/>
    <w:rsid w:val="002A2683"/>
    <w:rsid w:val="002A2B24"/>
    <w:rsid w:val="002A3373"/>
    <w:rsid w:val="002A35BA"/>
    <w:rsid w:val="002A3687"/>
    <w:rsid w:val="002A4198"/>
    <w:rsid w:val="002A46AC"/>
    <w:rsid w:val="002A4ADB"/>
    <w:rsid w:val="002A4CCD"/>
    <w:rsid w:val="002A561D"/>
    <w:rsid w:val="002A56CC"/>
    <w:rsid w:val="002A5794"/>
    <w:rsid w:val="002A58E0"/>
    <w:rsid w:val="002A64D5"/>
    <w:rsid w:val="002A6B24"/>
    <w:rsid w:val="002A6D1B"/>
    <w:rsid w:val="002A6D55"/>
    <w:rsid w:val="002A74BF"/>
    <w:rsid w:val="002A7578"/>
    <w:rsid w:val="002A77EB"/>
    <w:rsid w:val="002A7AB2"/>
    <w:rsid w:val="002A7AF1"/>
    <w:rsid w:val="002A7CE7"/>
    <w:rsid w:val="002B00E2"/>
    <w:rsid w:val="002B0B75"/>
    <w:rsid w:val="002B1109"/>
    <w:rsid w:val="002B154F"/>
    <w:rsid w:val="002B1CDB"/>
    <w:rsid w:val="002B1D51"/>
    <w:rsid w:val="002B20B5"/>
    <w:rsid w:val="002B2640"/>
    <w:rsid w:val="002B2AD2"/>
    <w:rsid w:val="002B2F7F"/>
    <w:rsid w:val="002B343C"/>
    <w:rsid w:val="002B3BA8"/>
    <w:rsid w:val="002B47F3"/>
    <w:rsid w:val="002B4888"/>
    <w:rsid w:val="002B494D"/>
    <w:rsid w:val="002B5BF5"/>
    <w:rsid w:val="002B5C5A"/>
    <w:rsid w:val="002B5F07"/>
    <w:rsid w:val="002B612D"/>
    <w:rsid w:val="002B6197"/>
    <w:rsid w:val="002B6357"/>
    <w:rsid w:val="002B65FE"/>
    <w:rsid w:val="002B6A35"/>
    <w:rsid w:val="002B6FF0"/>
    <w:rsid w:val="002B7356"/>
    <w:rsid w:val="002B75A1"/>
    <w:rsid w:val="002B7CC7"/>
    <w:rsid w:val="002C022D"/>
    <w:rsid w:val="002C1C33"/>
    <w:rsid w:val="002C1CEA"/>
    <w:rsid w:val="002C2976"/>
    <w:rsid w:val="002C2A74"/>
    <w:rsid w:val="002C2DB5"/>
    <w:rsid w:val="002C2EA8"/>
    <w:rsid w:val="002C344A"/>
    <w:rsid w:val="002C3761"/>
    <w:rsid w:val="002C3CB5"/>
    <w:rsid w:val="002C4253"/>
    <w:rsid w:val="002C43CD"/>
    <w:rsid w:val="002C43E4"/>
    <w:rsid w:val="002C49A2"/>
    <w:rsid w:val="002C4B89"/>
    <w:rsid w:val="002C527E"/>
    <w:rsid w:val="002C5415"/>
    <w:rsid w:val="002C55B0"/>
    <w:rsid w:val="002C567D"/>
    <w:rsid w:val="002C5769"/>
    <w:rsid w:val="002C57FD"/>
    <w:rsid w:val="002C5A79"/>
    <w:rsid w:val="002C606E"/>
    <w:rsid w:val="002C6C7D"/>
    <w:rsid w:val="002C78EB"/>
    <w:rsid w:val="002C7988"/>
    <w:rsid w:val="002D0E58"/>
    <w:rsid w:val="002D126C"/>
    <w:rsid w:val="002D15F3"/>
    <w:rsid w:val="002D1681"/>
    <w:rsid w:val="002D17CB"/>
    <w:rsid w:val="002D1F1C"/>
    <w:rsid w:val="002D3006"/>
    <w:rsid w:val="002D386E"/>
    <w:rsid w:val="002D3B07"/>
    <w:rsid w:val="002D3E1B"/>
    <w:rsid w:val="002D3E32"/>
    <w:rsid w:val="002D3FEF"/>
    <w:rsid w:val="002D449F"/>
    <w:rsid w:val="002D4657"/>
    <w:rsid w:val="002D5190"/>
    <w:rsid w:val="002D5632"/>
    <w:rsid w:val="002D62E8"/>
    <w:rsid w:val="002D666C"/>
    <w:rsid w:val="002D7DAA"/>
    <w:rsid w:val="002E08A4"/>
    <w:rsid w:val="002E19AD"/>
    <w:rsid w:val="002E2001"/>
    <w:rsid w:val="002E26DF"/>
    <w:rsid w:val="002E29DB"/>
    <w:rsid w:val="002E2BC6"/>
    <w:rsid w:val="002E337A"/>
    <w:rsid w:val="002E40D3"/>
    <w:rsid w:val="002E42AF"/>
    <w:rsid w:val="002E444B"/>
    <w:rsid w:val="002E4A76"/>
    <w:rsid w:val="002E4DC8"/>
    <w:rsid w:val="002E5A56"/>
    <w:rsid w:val="002E5F1F"/>
    <w:rsid w:val="002E62D7"/>
    <w:rsid w:val="002E6E34"/>
    <w:rsid w:val="002E746D"/>
    <w:rsid w:val="002E7AFD"/>
    <w:rsid w:val="002E7B62"/>
    <w:rsid w:val="002F045C"/>
    <w:rsid w:val="002F13CA"/>
    <w:rsid w:val="002F1426"/>
    <w:rsid w:val="002F1917"/>
    <w:rsid w:val="002F1AE4"/>
    <w:rsid w:val="002F1BA9"/>
    <w:rsid w:val="002F2194"/>
    <w:rsid w:val="002F2F2F"/>
    <w:rsid w:val="002F2F66"/>
    <w:rsid w:val="002F3656"/>
    <w:rsid w:val="002F3A2D"/>
    <w:rsid w:val="002F42A8"/>
    <w:rsid w:val="002F4735"/>
    <w:rsid w:val="002F4ACE"/>
    <w:rsid w:val="002F50A5"/>
    <w:rsid w:val="002F5280"/>
    <w:rsid w:val="002F59DE"/>
    <w:rsid w:val="002F5BA6"/>
    <w:rsid w:val="002F6351"/>
    <w:rsid w:val="002F6DC7"/>
    <w:rsid w:val="002F7194"/>
    <w:rsid w:val="002F7AF4"/>
    <w:rsid w:val="003007DD"/>
    <w:rsid w:val="00300918"/>
    <w:rsid w:val="00300A6A"/>
    <w:rsid w:val="00301749"/>
    <w:rsid w:val="00301B94"/>
    <w:rsid w:val="003022F0"/>
    <w:rsid w:val="00302306"/>
    <w:rsid w:val="00302722"/>
    <w:rsid w:val="00303036"/>
    <w:rsid w:val="00303257"/>
    <w:rsid w:val="00303E95"/>
    <w:rsid w:val="00304431"/>
    <w:rsid w:val="003046B0"/>
    <w:rsid w:val="00304A89"/>
    <w:rsid w:val="00304D34"/>
    <w:rsid w:val="003058D8"/>
    <w:rsid w:val="00305DB2"/>
    <w:rsid w:val="0030611C"/>
    <w:rsid w:val="00306B30"/>
    <w:rsid w:val="0030752E"/>
    <w:rsid w:val="0030781A"/>
    <w:rsid w:val="0030790A"/>
    <w:rsid w:val="00307FAD"/>
    <w:rsid w:val="00310191"/>
    <w:rsid w:val="00312CDA"/>
    <w:rsid w:val="00313464"/>
    <w:rsid w:val="003142FC"/>
    <w:rsid w:val="00315469"/>
    <w:rsid w:val="0031559E"/>
    <w:rsid w:val="00315ADA"/>
    <w:rsid w:val="00316046"/>
    <w:rsid w:val="0031608B"/>
    <w:rsid w:val="003164D2"/>
    <w:rsid w:val="003166C0"/>
    <w:rsid w:val="0031672D"/>
    <w:rsid w:val="00317882"/>
    <w:rsid w:val="003201F3"/>
    <w:rsid w:val="0032039F"/>
    <w:rsid w:val="00321AB1"/>
    <w:rsid w:val="00321CC1"/>
    <w:rsid w:val="003221E8"/>
    <w:rsid w:val="00322457"/>
    <w:rsid w:val="0032263D"/>
    <w:rsid w:val="003235D7"/>
    <w:rsid w:val="00323A27"/>
    <w:rsid w:val="00323D28"/>
    <w:rsid w:val="00324068"/>
    <w:rsid w:val="003247AF"/>
    <w:rsid w:val="0032508C"/>
    <w:rsid w:val="00325840"/>
    <w:rsid w:val="00325AAD"/>
    <w:rsid w:val="00325D47"/>
    <w:rsid w:val="003277AE"/>
    <w:rsid w:val="00327A43"/>
    <w:rsid w:val="00330AF8"/>
    <w:rsid w:val="00331409"/>
    <w:rsid w:val="00331817"/>
    <w:rsid w:val="0033198D"/>
    <w:rsid w:val="00331B85"/>
    <w:rsid w:val="0033200F"/>
    <w:rsid w:val="003322D0"/>
    <w:rsid w:val="0033246E"/>
    <w:rsid w:val="00332519"/>
    <w:rsid w:val="00332F1F"/>
    <w:rsid w:val="00333196"/>
    <w:rsid w:val="00333464"/>
    <w:rsid w:val="003335B9"/>
    <w:rsid w:val="00334403"/>
    <w:rsid w:val="003346C2"/>
    <w:rsid w:val="00334A6D"/>
    <w:rsid w:val="00335158"/>
    <w:rsid w:val="0033590F"/>
    <w:rsid w:val="0033616B"/>
    <w:rsid w:val="0033650A"/>
    <w:rsid w:val="00336DD8"/>
    <w:rsid w:val="00337057"/>
    <w:rsid w:val="00337077"/>
    <w:rsid w:val="003372E5"/>
    <w:rsid w:val="00337482"/>
    <w:rsid w:val="003377B8"/>
    <w:rsid w:val="00337957"/>
    <w:rsid w:val="00340594"/>
    <w:rsid w:val="00341422"/>
    <w:rsid w:val="003414C9"/>
    <w:rsid w:val="003414DE"/>
    <w:rsid w:val="00341970"/>
    <w:rsid w:val="00341F87"/>
    <w:rsid w:val="0034268F"/>
    <w:rsid w:val="003430A5"/>
    <w:rsid w:val="00343298"/>
    <w:rsid w:val="003434A5"/>
    <w:rsid w:val="00344C89"/>
    <w:rsid w:val="00345212"/>
    <w:rsid w:val="003457C1"/>
    <w:rsid w:val="00345A00"/>
    <w:rsid w:val="00346B69"/>
    <w:rsid w:val="0034770E"/>
    <w:rsid w:val="00347A1C"/>
    <w:rsid w:val="003506BF"/>
    <w:rsid w:val="0035078A"/>
    <w:rsid w:val="00350AD8"/>
    <w:rsid w:val="00350BA1"/>
    <w:rsid w:val="00350E39"/>
    <w:rsid w:val="00350E83"/>
    <w:rsid w:val="00351565"/>
    <w:rsid w:val="003515A7"/>
    <w:rsid w:val="003517BE"/>
    <w:rsid w:val="00351AD3"/>
    <w:rsid w:val="00351FEC"/>
    <w:rsid w:val="003522B4"/>
    <w:rsid w:val="003529BB"/>
    <w:rsid w:val="00352B15"/>
    <w:rsid w:val="00352E7E"/>
    <w:rsid w:val="00353475"/>
    <w:rsid w:val="00353D73"/>
    <w:rsid w:val="0035558A"/>
    <w:rsid w:val="00355AC3"/>
    <w:rsid w:val="0035686B"/>
    <w:rsid w:val="003570DD"/>
    <w:rsid w:val="0035770B"/>
    <w:rsid w:val="0036057D"/>
    <w:rsid w:val="0036064A"/>
    <w:rsid w:val="003607AA"/>
    <w:rsid w:val="003611C2"/>
    <w:rsid w:val="00361281"/>
    <w:rsid w:val="00361AA7"/>
    <w:rsid w:val="003620BF"/>
    <w:rsid w:val="0036489F"/>
    <w:rsid w:val="00364A66"/>
    <w:rsid w:val="00364B9F"/>
    <w:rsid w:val="00364D8E"/>
    <w:rsid w:val="00364F8E"/>
    <w:rsid w:val="0036560E"/>
    <w:rsid w:val="003657B2"/>
    <w:rsid w:val="003659F0"/>
    <w:rsid w:val="00366204"/>
    <w:rsid w:val="00366CEA"/>
    <w:rsid w:val="00366D09"/>
    <w:rsid w:val="00367227"/>
    <w:rsid w:val="00367FF3"/>
    <w:rsid w:val="003704B7"/>
    <w:rsid w:val="00370B22"/>
    <w:rsid w:val="00370C9D"/>
    <w:rsid w:val="003710BA"/>
    <w:rsid w:val="003715A2"/>
    <w:rsid w:val="0037172E"/>
    <w:rsid w:val="00371947"/>
    <w:rsid w:val="00371F51"/>
    <w:rsid w:val="00372B67"/>
    <w:rsid w:val="00373CFD"/>
    <w:rsid w:val="0037448F"/>
    <w:rsid w:val="00374A66"/>
    <w:rsid w:val="003751E3"/>
    <w:rsid w:val="003753F8"/>
    <w:rsid w:val="00375606"/>
    <w:rsid w:val="00375CB8"/>
    <w:rsid w:val="00375E0C"/>
    <w:rsid w:val="00377006"/>
    <w:rsid w:val="00377B52"/>
    <w:rsid w:val="00377EFC"/>
    <w:rsid w:val="00377F41"/>
    <w:rsid w:val="0038039D"/>
    <w:rsid w:val="003807E9"/>
    <w:rsid w:val="00380EB9"/>
    <w:rsid w:val="00381946"/>
    <w:rsid w:val="00381D4D"/>
    <w:rsid w:val="00381F45"/>
    <w:rsid w:val="00382763"/>
    <w:rsid w:val="00382A8E"/>
    <w:rsid w:val="00382B2B"/>
    <w:rsid w:val="00383069"/>
    <w:rsid w:val="00383AD2"/>
    <w:rsid w:val="00383D5B"/>
    <w:rsid w:val="00383EAB"/>
    <w:rsid w:val="00383EF4"/>
    <w:rsid w:val="0038414F"/>
    <w:rsid w:val="00384B86"/>
    <w:rsid w:val="00384C3D"/>
    <w:rsid w:val="00385E8D"/>
    <w:rsid w:val="00385E91"/>
    <w:rsid w:val="00385F31"/>
    <w:rsid w:val="003860B2"/>
    <w:rsid w:val="00386255"/>
    <w:rsid w:val="00386B21"/>
    <w:rsid w:val="003871A0"/>
    <w:rsid w:val="00387904"/>
    <w:rsid w:val="003904D6"/>
    <w:rsid w:val="003906E5"/>
    <w:rsid w:val="003907AF"/>
    <w:rsid w:val="00390A40"/>
    <w:rsid w:val="00391372"/>
    <w:rsid w:val="00391388"/>
    <w:rsid w:val="003916A0"/>
    <w:rsid w:val="00392C4F"/>
    <w:rsid w:val="0039380A"/>
    <w:rsid w:val="00393C0F"/>
    <w:rsid w:val="0039420E"/>
    <w:rsid w:val="00394341"/>
    <w:rsid w:val="00394DA7"/>
    <w:rsid w:val="00395977"/>
    <w:rsid w:val="003963BD"/>
    <w:rsid w:val="00396ABB"/>
    <w:rsid w:val="00396CE2"/>
    <w:rsid w:val="00397163"/>
    <w:rsid w:val="00397634"/>
    <w:rsid w:val="00397B8F"/>
    <w:rsid w:val="00397C8A"/>
    <w:rsid w:val="00397DD5"/>
    <w:rsid w:val="00397EC5"/>
    <w:rsid w:val="003A10BC"/>
    <w:rsid w:val="003A1F7B"/>
    <w:rsid w:val="003A208A"/>
    <w:rsid w:val="003A212D"/>
    <w:rsid w:val="003A2CFF"/>
    <w:rsid w:val="003A3444"/>
    <w:rsid w:val="003A34CA"/>
    <w:rsid w:val="003A4397"/>
    <w:rsid w:val="003A465D"/>
    <w:rsid w:val="003A4D0B"/>
    <w:rsid w:val="003A53A8"/>
    <w:rsid w:val="003A5BE3"/>
    <w:rsid w:val="003A5D22"/>
    <w:rsid w:val="003A6708"/>
    <w:rsid w:val="003A6F1C"/>
    <w:rsid w:val="003A7129"/>
    <w:rsid w:val="003A77AA"/>
    <w:rsid w:val="003B02C4"/>
    <w:rsid w:val="003B15E4"/>
    <w:rsid w:val="003B2575"/>
    <w:rsid w:val="003B2673"/>
    <w:rsid w:val="003B2E92"/>
    <w:rsid w:val="003B37AF"/>
    <w:rsid w:val="003B3C9D"/>
    <w:rsid w:val="003B40EA"/>
    <w:rsid w:val="003B41B2"/>
    <w:rsid w:val="003B425A"/>
    <w:rsid w:val="003B46A0"/>
    <w:rsid w:val="003B4717"/>
    <w:rsid w:val="003B4DD8"/>
    <w:rsid w:val="003B4F91"/>
    <w:rsid w:val="003B5DC3"/>
    <w:rsid w:val="003B6020"/>
    <w:rsid w:val="003B63D7"/>
    <w:rsid w:val="003B786C"/>
    <w:rsid w:val="003B78FC"/>
    <w:rsid w:val="003C0633"/>
    <w:rsid w:val="003C1303"/>
    <w:rsid w:val="003C1C51"/>
    <w:rsid w:val="003C213E"/>
    <w:rsid w:val="003C22DC"/>
    <w:rsid w:val="003C3012"/>
    <w:rsid w:val="003C317B"/>
    <w:rsid w:val="003C3C5E"/>
    <w:rsid w:val="003C3DF4"/>
    <w:rsid w:val="003C4878"/>
    <w:rsid w:val="003C4AE8"/>
    <w:rsid w:val="003C4B36"/>
    <w:rsid w:val="003C4C33"/>
    <w:rsid w:val="003C4D8D"/>
    <w:rsid w:val="003C4F12"/>
    <w:rsid w:val="003C590F"/>
    <w:rsid w:val="003C5A1F"/>
    <w:rsid w:val="003C5D4F"/>
    <w:rsid w:val="003C6439"/>
    <w:rsid w:val="003C67A4"/>
    <w:rsid w:val="003C68FA"/>
    <w:rsid w:val="003C6A70"/>
    <w:rsid w:val="003C7164"/>
    <w:rsid w:val="003C7264"/>
    <w:rsid w:val="003D0297"/>
    <w:rsid w:val="003D05F3"/>
    <w:rsid w:val="003D1564"/>
    <w:rsid w:val="003D1595"/>
    <w:rsid w:val="003D1E74"/>
    <w:rsid w:val="003D21EB"/>
    <w:rsid w:val="003D2514"/>
    <w:rsid w:val="003D27CB"/>
    <w:rsid w:val="003D2B7F"/>
    <w:rsid w:val="003D2DD7"/>
    <w:rsid w:val="003D38F2"/>
    <w:rsid w:val="003D4056"/>
    <w:rsid w:val="003D4951"/>
    <w:rsid w:val="003D53DA"/>
    <w:rsid w:val="003D53E6"/>
    <w:rsid w:val="003D5950"/>
    <w:rsid w:val="003D5A3F"/>
    <w:rsid w:val="003D5DA7"/>
    <w:rsid w:val="003D658D"/>
    <w:rsid w:val="003D7054"/>
    <w:rsid w:val="003D7C38"/>
    <w:rsid w:val="003D7CA5"/>
    <w:rsid w:val="003D7F5D"/>
    <w:rsid w:val="003E0180"/>
    <w:rsid w:val="003E0184"/>
    <w:rsid w:val="003E0339"/>
    <w:rsid w:val="003E0FEA"/>
    <w:rsid w:val="003E1923"/>
    <w:rsid w:val="003E1ACE"/>
    <w:rsid w:val="003E2CE5"/>
    <w:rsid w:val="003E365E"/>
    <w:rsid w:val="003E3B4C"/>
    <w:rsid w:val="003E3D72"/>
    <w:rsid w:val="003E3E89"/>
    <w:rsid w:val="003E42AB"/>
    <w:rsid w:val="003E4F5C"/>
    <w:rsid w:val="003E53F1"/>
    <w:rsid w:val="003E5407"/>
    <w:rsid w:val="003E5432"/>
    <w:rsid w:val="003E5A91"/>
    <w:rsid w:val="003E635C"/>
    <w:rsid w:val="003E6690"/>
    <w:rsid w:val="003E76BE"/>
    <w:rsid w:val="003E7B6D"/>
    <w:rsid w:val="003E7FA1"/>
    <w:rsid w:val="003F0A54"/>
    <w:rsid w:val="003F0A5D"/>
    <w:rsid w:val="003F0F34"/>
    <w:rsid w:val="003F0FCF"/>
    <w:rsid w:val="003F1176"/>
    <w:rsid w:val="003F11C7"/>
    <w:rsid w:val="003F1994"/>
    <w:rsid w:val="003F1B87"/>
    <w:rsid w:val="003F205E"/>
    <w:rsid w:val="003F238D"/>
    <w:rsid w:val="003F2998"/>
    <w:rsid w:val="003F29FE"/>
    <w:rsid w:val="003F2C14"/>
    <w:rsid w:val="003F2EC1"/>
    <w:rsid w:val="003F34EB"/>
    <w:rsid w:val="003F3A19"/>
    <w:rsid w:val="003F3A49"/>
    <w:rsid w:val="003F3B74"/>
    <w:rsid w:val="003F3E02"/>
    <w:rsid w:val="003F504A"/>
    <w:rsid w:val="003F5A36"/>
    <w:rsid w:val="003F64FC"/>
    <w:rsid w:val="003F65EE"/>
    <w:rsid w:val="003F6860"/>
    <w:rsid w:val="003F6E25"/>
    <w:rsid w:val="003F75FA"/>
    <w:rsid w:val="003F763D"/>
    <w:rsid w:val="003F78E2"/>
    <w:rsid w:val="003F792D"/>
    <w:rsid w:val="0040028E"/>
    <w:rsid w:val="004006EE"/>
    <w:rsid w:val="00400AF1"/>
    <w:rsid w:val="0040142A"/>
    <w:rsid w:val="00402322"/>
    <w:rsid w:val="0040347F"/>
    <w:rsid w:val="004034A0"/>
    <w:rsid w:val="0040352B"/>
    <w:rsid w:val="004038E0"/>
    <w:rsid w:val="00403C14"/>
    <w:rsid w:val="00404186"/>
    <w:rsid w:val="00404A5C"/>
    <w:rsid w:val="0040573B"/>
    <w:rsid w:val="004057F4"/>
    <w:rsid w:val="004058B1"/>
    <w:rsid w:val="00406F84"/>
    <w:rsid w:val="00407676"/>
    <w:rsid w:val="004077A8"/>
    <w:rsid w:val="00410123"/>
    <w:rsid w:val="0041071D"/>
    <w:rsid w:val="00410C88"/>
    <w:rsid w:val="00411840"/>
    <w:rsid w:val="004118C7"/>
    <w:rsid w:val="00411B9F"/>
    <w:rsid w:val="00411C23"/>
    <w:rsid w:val="00411D53"/>
    <w:rsid w:val="004121E6"/>
    <w:rsid w:val="00413EE4"/>
    <w:rsid w:val="004142BE"/>
    <w:rsid w:val="004147FC"/>
    <w:rsid w:val="00414EE7"/>
    <w:rsid w:val="004150CC"/>
    <w:rsid w:val="00415108"/>
    <w:rsid w:val="004160E8"/>
    <w:rsid w:val="00416EF6"/>
    <w:rsid w:val="0041725D"/>
    <w:rsid w:val="00417C98"/>
    <w:rsid w:val="00420689"/>
    <w:rsid w:val="0042075C"/>
    <w:rsid w:val="004208AF"/>
    <w:rsid w:val="00420C54"/>
    <w:rsid w:val="00421334"/>
    <w:rsid w:val="00421B44"/>
    <w:rsid w:val="00421BAA"/>
    <w:rsid w:val="004220D9"/>
    <w:rsid w:val="00422556"/>
    <w:rsid w:val="00422BD0"/>
    <w:rsid w:val="00422C3D"/>
    <w:rsid w:val="0042364E"/>
    <w:rsid w:val="00424555"/>
    <w:rsid w:val="004247C9"/>
    <w:rsid w:val="00424860"/>
    <w:rsid w:val="00424B30"/>
    <w:rsid w:val="00424EF8"/>
    <w:rsid w:val="00424F66"/>
    <w:rsid w:val="004256C2"/>
    <w:rsid w:val="00425C01"/>
    <w:rsid w:val="004262D9"/>
    <w:rsid w:val="0042659E"/>
    <w:rsid w:val="004266B2"/>
    <w:rsid w:val="004271DD"/>
    <w:rsid w:val="004272B5"/>
    <w:rsid w:val="004276C8"/>
    <w:rsid w:val="00427ACB"/>
    <w:rsid w:val="00427B05"/>
    <w:rsid w:val="004300EC"/>
    <w:rsid w:val="0043014C"/>
    <w:rsid w:val="004301E0"/>
    <w:rsid w:val="004302A6"/>
    <w:rsid w:val="004302F4"/>
    <w:rsid w:val="004306D5"/>
    <w:rsid w:val="00430D08"/>
    <w:rsid w:val="00430F6E"/>
    <w:rsid w:val="00430F89"/>
    <w:rsid w:val="004312F8"/>
    <w:rsid w:val="004314BB"/>
    <w:rsid w:val="004319F5"/>
    <w:rsid w:val="00431E71"/>
    <w:rsid w:val="00431FBD"/>
    <w:rsid w:val="00432496"/>
    <w:rsid w:val="00432BFD"/>
    <w:rsid w:val="00432F44"/>
    <w:rsid w:val="004331FB"/>
    <w:rsid w:val="004334AC"/>
    <w:rsid w:val="0043381F"/>
    <w:rsid w:val="004339A7"/>
    <w:rsid w:val="00433F15"/>
    <w:rsid w:val="00433F5D"/>
    <w:rsid w:val="004343A8"/>
    <w:rsid w:val="004344A8"/>
    <w:rsid w:val="00434C44"/>
    <w:rsid w:val="00435D6A"/>
    <w:rsid w:val="00435DDC"/>
    <w:rsid w:val="00435EEA"/>
    <w:rsid w:val="00436846"/>
    <w:rsid w:val="00436A62"/>
    <w:rsid w:val="00436A99"/>
    <w:rsid w:val="00436FAD"/>
    <w:rsid w:val="0043726D"/>
    <w:rsid w:val="00437AA2"/>
    <w:rsid w:val="00437AAD"/>
    <w:rsid w:val="00437BB3"/>
    <w:rsid w:val="00437F20"/>
    <w:rsid w:val="00440289"/>
    <w:rsid w:val="004403C3"/>
    <w:rsid w:val="00440862"/>
    <w:rsid w:val="00440F90"/>
    <w:rsid w:val="0044154F"/>
    <w:rsid w:val="004417CE"/>
    <w:rsid w:val="00441F6C"/>
    <w:rsid w:val="00442A9B"/>
    <w:rsid w:val="00442F2B"/>
    <w:rsid w:val="00442FD7"/>
    <w:rsid w:val="0044341E"/>
    <w:rsid w:val="00443C5E"/>
    <w:rsid w:val="00444612"/>
    <w:rsid w:val="00444E2E"/>
    <w:rsid w:val="00445193"/>
    <w:rsid w:val="00445216"/>
    <w:rsid w:val="00445B46"/>
    <w:rsid w:val="00445B7A"/>
    <w:rsid w:val="00445B8C"/>
    <w:rsid w:val="00445E8C"/>
    <w:rsid w:val="00446653"/>
    <w:rsid w:val="0044665E"/>
    <w:rsid w:val="004467B8"/>
    <w:rsid w:val="00446CAE"/>
    <w:rsid w:val="0044730F"/>
    <w:rsid w:val="004502B9"/>
    <w:rsid w:val="00450515"/>
    <w:rsid w:val="00451424"/>
    <w:rsid w:val="004514D8"/>
    <w:rsid w:val="00451967"/>
    <w:rsid w:val="004524FA"/>
    <w:rsid w:val="00453BBF"/>
    <w:rsid w:val="00453C15"/>
    <w:rsid w:val="00453E29"/>
    <w:rsid w:val="0045474B"/>
    <w:rsid w:val="00454C20"/>
    <w:rsid w:val="004551EB"/>
    <w:rsid w:val="004555F7"/>
    <w:rsid w:val="004556CE"/>
    <w:rsid w:val="0045611E"/>
    <w:rsid w:val="00456131"/>
    <w:rsid w:val="004563BF"/>
    <w:rsid w:val="00456CA1"/>
    <w:rsid w:val="00456E73"/>
    <w:rsid w:val="0045717F"/>
    <w:rsid w:val="00457680"/>
    <w:rsid w:val="004579D3"/>
    <w:rsid w:val="004600FB"/>
    <w:rsid w:val="0046038D"/>
    <w:rsid w:val="00460699"/>
    <w:rsid w:val="00460898"/>
    <w:rsid w:val="00460B7F"/>
    <w:rsid w:val="00460FAE"/>
    <w:rsid w:val="0046246D"/>
    <w:rsid w:val="00462AE0"/>
    <w:rsid w:val="00462B7E"/>
    <w:rsid w:val="00462C80"/>
    <w:rsid w:val="00463782"/>
    <w:rsid w:val="0046462D"/>
    <w:rsid w:val="00464D7D"/>
    <w:rsid w:val="00464F66"/>
    <w:rsid w:val="00465647"/>
    <w:rsid w:val="00465B32"/>
    <w:rsid w:val="00465B5D"/>
    <w:rsid w:val="004660DD"/>
    <w:rsid w:val="00466C91"/>
    <w:rsid w:val="00467CA9"/>
    <w:rsid w:val="00467DBF"/>
    <w:rsid w:val="00467E8A"/>
    <w:rsid w:val="004708A9"/>
    <w:rsid w:val="00470C55"/>
    <w:rsid w:val="00470F6E"/>
    <w:rsid w:val="0047160F"/>
    <w:rsid w:val="00471885"/>
    <w:rsid w:val="00471FAE"/>
    <w:rsid w:val="0047282F"/>
    <w:rsid w:val="004729A6"/>
    <w:rsid w:val="00473099"/>
    <w:rsid w:val="0047387A"/>
    <w:rsid w:val="00474319"/>
    <w:rsid w:val="0047522D"/>
    <w:rsid w:val="00475A45"/>
    <w:rsid w:val="00475BA5"/>
    <w:rsid w:val="00475E1E"/>
    <w:rsid w:val="004763C7"/>
    <w:rsid w:val="00476E01"/>
    <w:rsid w:val="004770C4"/>
    <w:rsid w:val="00477E84"/>
    <w:rsid w:val="00480E8F"/>
    <w:rsid w:val="004817F6"/>
    <w:rsid w:val="0048192F"/>
    <w:rsid w:val="004820FA"/>
    <w:rsid w:val="004836E3"/>
    <w:rsid w:val="00483820"/>
    <w:rsid w:val="00483C69"/>
    <w:rsid w:val="00484626"/>
    <w:rsid w:val="00484702"/>
    <w:rsid w:val="00484718"/>
    <w:rsid w:val="00484CA0"/>
    <w:rsid w:val="004857E4"/>
    <w:rsid w:val="0048653E"/>
    <w:rsid w:val="00486A34"/>
    <w:rsid w:val="00486F32"/>
    <w:rsid w:val="00487707"/>
    <w:rsid w:val="00487B05"/>
    <w:rsid w:val="00487EC4"/>
    <w:rsid w:val="00487FA7"/>
    <w:rsid w:val="0049061A"/>
    <w:rsid w:val="00490BAA"/>
    <w:rsid w:val="00491F6C"/>
    <w:rsid w:val="00492280"/>
    <w:rsid w:val="00492E67"/>
    <w:rsid w:val="00493611"/>
    <w:rsid w:val="00493849"/>
    <w:rsid w:val="00493D42"/>
    <w:rsid w:val="00494244"/>
    <w:rsid w:val="004953B6"/>
    <w:rsid w:val="00495738"/>
    <w:rsid w:val="00496035"/>
    <w:rsid w:val="004965A9"/>
    <w:rsid w:val="0049696D"/>
    <w:rsid w:val="004969FB"/>
    <w:rsid w:val="0049786C"/>
    <w:rsid w:val="00497BF7"/>
    <w:rsid w:val="004A09A1"/>
    <w:rsid w:val="004A0DC5"/>
    <w:rsid w:val="004A1172"/>
    <w:rsid w:val="004A128E"/>
    <w:rsid w:val="004A15E1"/>
    <w:rsid w:val="004A20F8"/>
    <w:rsid w:val="004A215D"/>
    <w:rsid w:val="004A2255"/>
    <w:rsid w:val="004A2C01"/>
    <w:rsid w:val="004A4063"/>
    <w:rsid w:val="004A471B"/>
    <w:rsid w:val="004A488F"/>
    <w:rsid w:val="004A4953"/>
    <w:rsid w:val="004A4D97"/>
    <w:rsid w:val="004A4FB4"/>
    <w:rsid w:val="004A5022"/>
    <w:rsid w:val="004A52CB"/>
    <w:rsid w:val="004A5C2F"/>
    <w:rsid w:val="004A62AC"/>
    <w:rsid w:val="004A6ABD"/>
    <w:rsid w:val="004A6B51"/>
    <w:rsid w:val="004A6E09"/>
    <w:rsid w:val="004A7FD1"/>
    <w:rsid w:val="004B016C"/>
    <w:rsid w:val="004B0450"/>
    <w:rsid w:val="004B097E"/>
    <w:rsid w:val="004B11AB"/>
    <w:rsid w:val="004B1262"/>
    <w:rsid w:val="004B15AB"/>
    <w:rsid w:val="004B170F"/>
    <w:rsid w:val="004B1AD2"/>
    <w:rsid w:val="004B1B34"/>
    <w:rsid w:val="004B3983"/>
    <w:rsid w:val="004B3B8A"/>
    <w:rsid w:val="004B4DD6"/>
    <w:rsid w:val="004B4E80"/>
    <w:rsid w:val="004B5688"/>
    <w:rsid w:val="004B5B36"/>
    <w:rsid w:val="004B6377"/>
    <w:rsid w:val="004C04E2"/>
    <w:rsid w:val="004C137F"/>
    <w:rsid w:val="004C160F"/>
    <w:rsid w:val="004C1A5D"/>
    <w:rsid w:val="004C28EA"/>
    <w:rsid w:val="004C2FEB"/>
    <w:rsid w:val="004C3493"/>
    <w:rsid w:val="004C3D5C"/>
    <w:rsid w:val="004C44F1"/>
    <w:rsid w:val="004C4648"/>
    <w:rsid w:val="004C4DA0"/>
    <w:rsid w:val="004C4ECE"/>
    <w:rsid w:val="004C4F2B"/>
    <w:rsid w:val="004C5238"/>
    <w:rsid w:val="004C5411"/>
    <w:rsid w:val="004C5880"/>
    <w:rsid w:val="004C58CE"/>
    <w:rsid w:val="004C5B47"/>
    <w:rsid w:val="004C6188"/>
    <w:rsid w:val="004C62A1"/>
    <w:rsid w:val="004C683A"/>
    <w:rsid w:val="004C71E6"/>
    <w:rsid w:val="004C78CB"/>
    <w:rsid w:val="004D0D49"/>
    <w:rsid w:val="004D0D7A"/>
    <w:rsid w:val="004D1763"/>
    <w:rsid w:val="004D18B4"/>
    <w:rsid w:val="004D1983"/>
    <w:rsid w:val="004D1A81"/>
    <w:rsid w:val="004D1C71"/>
    <w:rsid w:val="004D29D2"/>
    <w:rsid w:val="004D2BB8"/>
    <w:rsid w:val="004D2E05"/>
    <w:rsid w:val="004D3077"/>
    <w:rsid w:val="004D358C"/>
    <w:rsid w:val="004D4235"/>
    <w:rsid w:val="004D44C5"/>
    <w:rsid w:val="004D49FA"/>
    <w:rsid w:val="004D575F"/>
    <w:rsid w:val="004D6290"/>
    <w:rsid w:val="004D6BB9"/>
    <w:rsid w:val="004E0035"/>
    <w:rsid w:val="004E0797"/>
    <w:rsid w:val="004E0E76"/>
    <w:rsid w:val="004E19C1"/>
    <w:rsid w:val="004E2529"/>
    <w:rsid w:val="004E2EFB"/>
    <w:rsid w:val="004E3ED1"/>
    <w:rsid w:val="004E3FA7"/>
    <w:rsid w:val="004E4AF2"/>
    <w:rsid w:val="004E5399"/>
    <w:rsid w:val="004E5613"/>
    <w:rsid w:val="004E574A"/>
    <w:rsid w:val="004E5A6B"/>
    <w:rsid w:val="004E60C3"/>
    <w:rsid w:val="004E635A"/>
    <w:rsid w:val="004E63FF"/>
    <w:rsid w:val="004E67D0"/>
    <w:rsid w:val="004E6BFA"/>
    <w:rsid w:val="004E6E25"/>
    <w:rsid w:val="004E75E0"/>
    <w:rsid w:val="004F02F8"/>
    <w:rsid w:val="004F031C"/>
    <w:rsid w:val="004F0860"/>
    <w:rsid w:val="004F109C"/>
    <w:rsid w:val="004F117A"/>
    <w:rsid w:val="004F13AC"/>
    <w:rsid w:val="004F162C"/>
    <w:rsid w:val="004F2462"/>
    <w:rsid w:val="004F28EF"/>
    <w:rsid w:val="004F2BAD"/>
    <w:rsid w:val="004F2BEF"/>
    <w:rsid w:val="004F2D74"/>
    <w:rsid w:val="004F2F92"/>
    <w:rsid w:val="004F3716"/>
    <w:rsid w:val="004F376C"/>
    <w:rsid w:val="004F381E"/>
    <w:rsid w:val="004F3BB0"/>
    <w:rsid w:val="004F4280"/>
    <w:rsid w:val="004F42A9"/>
    <w:rsid w:val="004F45E9"/>
    <w:rsid w:val="004F4749"/>
    <w:rsid w:val="004F4B62"/>
    <w:rsid w:val="004F4CAA"/>
    <w:rsid w:val="004F4FB6"/>
    <w:rsid w:val="004F5719"/>
    <w:rsid w:val="004F584C"/>
    <w:rsid w:val="004F6011"/>
    <w:rsid w:val="004F613D"/>
    <w:rsid w:val="004F6838"/>
    <w:rsid w:val="004F6A3F"/>
    <w:rsid w:val="0050003F"/>
    <w:rsid w:val="00500495"/>
    <w:rsid w:val="00500957"/>
    <w:rsid w:val="00501298"/>
    <w:rsid w:val="00501A67"/>
    <w:rsid w:val="00501CC6"/>
    <w:rsid w:val="00502C92"/>
    <w:rsid w:val="00502D58"/>
    <w:rsid w:val="0050300E"/>
    <w:rsid w:val="00503404"/>
    <w:rsid w:val="00503453"/>
    <w:rsid w:val="00503E0F"/>
    <w:rsid w:val="00504D56"/>
    <w:rsid w:val="005052ED"/>
    <w:rsid w:val="0050565A"/>
    <w:rsid w:val="00505B0B"/>
    <w:rsid w:val="00505F85"/>
    <w:rsid w:val="00506113"/>
    <w:rsid w:val="0050614C"/>
    <w:rsid w:val="0050693A"/>
    <w:rsid w:val="00506B0B"/>
    <w:rsid w:val="00506EF8"/>
    <w:rsid w:val="00506F99"/>
    <w:rsid w:val="00506FFF"/>
    <w:rsid w:val="00507194"/>
    <w:rsid w:val="0051025B"/>
    <w:rsid w:val="005102ED"/>
    <w:rsid w:val="005109AB"/>
    <w:rsid w:val="0051103E"/>
    <w:rsid w:val="0051124A"/>
    <w:rsid w:val="00512031"/>
    <w:rsid w:val="00512D5F"/>
    <w:rsid w:val="00512FAE"/>
    <w:rsid w:val="00513773"/>
    <w:rsid w:val="00513E95"/>
    <w:rsid w:val="00514426"/>
    <w:rsid w:val="0051512F"/>
    <w:rsid w:val="00515A59"/>
    <w:rsid w:val="00515E08"/>
    <w:rsid w:val="00516013"/>
    <w:rsid w:val="00516513"/>
    <w:rsid w:val="005167E5"/>
    <w:rsid w:val="00516C35"/>
    <w:rsid w:val="00516DCA"/>
    <w:rsid w:val="00516E9C"/>
    <w:rsid w:val="00517177"/>
    <w:rsid w:val="0051726C"/>
    <w:rsid w:val="00522EEE"/>
    <w:rsid w:val="005240C5"/>
    <w:rsid w:val="005247A7"/>
    <w:rsid w:val="00525196"/>
    <w:rsid w:val="00525818"/>
    <w:rsid w:val="005258CE"/>
    <w:rsid w:val="00525DD6"/>
    <w:rsid w:val="00525EC0"/>
    <w:rsid w:val="00526508"/>
    <w:rsid w:val="0052653E"/>
    <w:rsid w:val="005270C7"/>
    <w:rsid w:val="00527764"/>
    <w:rsid w:val="005302CF"/>
    <w:rsid w:val="00530E15"/>
    <w:rsid w:val="00531599"/>
    <w:rsid w:val="00531BC9"/>
    <w:rsid w:val="00531E32"/>
    <w:rsid w:val="00532C99"/>
    <w:rsid w:val="0053387B"/>
    <w:rsid w:val="00533BC1"/>
    <w:rsid w:val="00534349"/>
    <w:rsid w:val="0053472F"/>
    <w:rsid w:val="00535E62"/>
    <w:rsid w:val="00535E64"/>
    <w:rsid w:val="00535ED2"/>
    <w:rsid w:val="00537432"/>
    <w:rsid w:val="005408F6"/>
    <w:rsid w:val="00540A7B"/>
    <w:rsid w:val="00540F53"/>
    <w:rsid w:val="00541699"/>
    <w:rsid w:val="0054262F"/>
    <w:rsid w:val="005427CF"/>
    <w:rsid w:val="005434C7"/>
    <w:rsid w:val="00544147"/>
    <w:rsid w:val="00544535"/>
    <w:rsid w:val="005447CB"/>
    <w:rsid w:val="00544C1D"/>
    <w:rsid w:val="00545116"/>
    <w:rsid w:val="005453A2"/>
    <w:rsid w:val="0054561A"/>
    <w:rsid w:val="00545AA9"/>
    <w:rsid w:val="00546D35"/>
    <w:rsid w:val="00546F0E"/>
    <w:rsid w:val="00550853"/>
    <w:rsid w:val="00550BED"/>
    <w:rsid w:val="00551BA6"/>
    <w:rsid w:val="005527EA"/>
    <w:rsid w:val="00552BF3"/>
    <w:rsid w:val="0055309E"/>
    <w:rsid w:val="00553430"/>
    <w:rsid w:val="005542F6"/>
    <w:rsid w:val="005549CD"/>
    <w:rsid w:val="00554AB2"/>
    <w:rsid w:val="00554BE9"/>
    <w:rsid w:val="00554FBD"/>
    <w:rsid w:val="005555D3"/>
    <w:rsid w:val="00555B35"/>
    <w:rsid w:val="005561EA"/>
    <w:rsid w:val="00557501"/>
    <w:rsid w:val="005579FD"/>
    <w:rsid w:val="00557F83"/>
    <w:rsid w:val="005603C3"/>
    <w:rsid w:val="0056094E"/>
    <w:rsid w:val="005616C1"/>
    <w:rsid w:val="00561743"/>
    <w:rsid w:val="0056196F"/>
    <w:rsid w:val="00561CB2"/>
    <w:rsid w:val="005620CB"/>
    <w:rsid w:val="00563119"/>
    <w:rsid w:val="0056316A"/>
    <w:rsid w:val="0056410D"/>
    <w:rsid w:val="005644D1"/>
    <w:rsid w:val="0056513E"/>
    <w:rsid w:val="00565153"/>
    <w:rsid w:val="00565B8D"/>
    <w:rsid w:val="00565E29"/>
    <w:rsid w:val="00565E7F"/>
    <w:rsid w:val="005669F2"/>
    <w:rsid w:val="00566E3A"/>
    <w:rsid w:val="0056717D"/>
    <w:rsid w:val="0056769C"/>
    <w:rsid w:val="005679D0"/>
    <w:rsid w:val="00570995"/>
    <w:rsid w:val="00570A1B"/>
    <w:rsid w:val="00570EDC"/>
    <w:rsid w:val="00571062"/>
    <w:rsid w:val="005717E0"/>
    <w:rsid w:val="00572461"/>
    <w:rsid w:val="005726EA"/>
    <w:rsid w:val="005734C1"/>
    <w:rsid w:val="00573977"/>
    <w:rsid w:val="005740C8"/>
    <w:rsid w:val="00576085"/>
    <w:rsid w:val="005760F3"/>
    <w:rsid w:val="00577276"/>
    <w:rsid w:val="005772EB"/>
    <w:rsid w:val="00577F1C"/>
    <w:rsid w:val="00580B70"/>
    <w:rsid w:val="00580C13"/>
    <w:rsid w:val="005810AD"/>
    <w:rsid w:val="00581246"/>
    <w:rsid w:val="00581D23"/>
    <w:rsid w:val="00581ECF"/>
    <w:rsid w:val="00582025"/>
    <w:rsid w:val="00582CF9"/>
    <w:rsid w:val="0058300D"/>
    <w:rsid w:val="0058370C"/>
    <w:rsid w:val="00583825"/>
    <w:rsid w:val="00583B67"/>
    <w:rsid w:val="005844FB"/>
    <w:rsid w:val="0058534F"/>
    <w:rsid w:val="005853A2"/>
    <w:rsid w:val="005857E5"/>
    <w:rsid w:val="005858B2"/>
    <w:rsid w:val="00585B2C"/>
    <w:rsid w:val="00586055"/>
    <w:rsid w:val="005861B4"/>
    <w:rsid w:val="0058650D"/>
    <w:rsid w:val="00586625"/>
    <w:rsid w:val="00586A5A"/>
    <w:rsid w:val="00586BDA"/>
    <w:rsid w:val="0058701C"/>
    <w:rsid w:val="00587DC3"/>
    <w:rsid w:val="00587EAB"/>
    <w:rsid w:val="00587FD4"/>
    <w:rsid w:val="00590334"/>
    <w:rsid w:val="00590353"/>
    <w:rsid w:val="005907DB"/>
    <w:rsid w:val="00590AF8"/>
    <w:rsid w:val="00591C7E"/>
    <w:rsid w:val="005920E3"/>
    <w:rsid w:val="005925F3"/>
    <w:rsid w:val="00593408"/>
    <w:rsid w:val="005934C3"/>
    <w:rsid w:val="00593994"/>
    <w:rsid w:val="00593DE1"/>
    <w:rsid w:val="00595695"/>
    <w:rsid w:val="00596932"/>
    <w:rsid w:val="00596D87"/>
    <w:rsid w:val="005972EB"/>
    <w:rsid w:val="00597A33"/>
    <w:rsid w:val="00597FB2"/>
    <w:rsid w:val="005A0844"/>
    <w:rsid w:val="005A0A7C"/>
    <w:rsid w:val="005A0E90"/>
    <w:rsid w:val="005A114E"/>
    <w:rsid w:val="005A142A"/>
    <w:rsid w:val="005A1508"/>
    <w:rsid w:val="005A16BA"/>
    <w:rsid w:val="005A1973"/>
    <w:rsid w:val="005A1D14"/>
    <w:rsid w:val="005A2C0B"/>
    <w:rsid w:val="005A2E78"/>
    <w:rsid w:val="005A3347"/>
    <w:rsid w:val="005A3C90"/>
    <w:rsid w:val="005A3E52"/>
    <w:rsid w:val="005A4441"/>
    <w:rsid w:val="005A496E"/>
    <w:rsid w:val="005A4BC6"/>
    <w:rsid w:val="005A4D5C"/>
    <w:rsid w:val="005A51FC"/>
    <w:rsid w:val="005A5623"/>
    <w:rsid w:val="005A5E27"/>
    <w:rsid w:val="005A60CF"/>
    <w:rsid w:val="005A65E7"/>
    <w:rsid w:val="005A6A43"/>
    <w:rsid w:val="005A6A76"/>
    <w:rsid w:val="005A6A9B"/>
    <w:rsid w:val="005B08B1"/>
    <w:rsid w:val="005B0955"/>
    <w:rsid w:val="005B0B13"/>
    <w:rsid w:val="005B1225"/>
    <w:rsid w:val="005B12FD"/>
    <w:rsid w:val="005B19B1"/>
    <w:rsid w:val="005B1CEF"/>
    <w:rsid w:val="005B1CFF"/>
    <w:rsid w:val="005B2034"/>
    <w:rsid w:val="005B2840"/>
    <w:rsid w:val="005B291D"/>
    <w:rsid w:val="005B2A98"/>
    <w:rsid w:val="005B2CA5"/>
    <w:rsid w:val="005B2F15"/>
    <w:rsid w:val="005B348F"/>
    <w:rsid w:val="005B37AF"/>
    <w:rsid w:val="005B3943"/>
    <w:rsid w:val="005B3E5A"/>
    <w:rsid w:val="005B416D"/>
    <w:rsid w:val="005B4449"/>
    <w:rsid w:val="005B459B"/>
    <w:rsid w:val="005B462E"/>
    <w:rsid w:val="005B4E8B"/>
    <w:rsid w:val="005B4F38"/>
    <w:rsid w:val="005B4FE4"/>
    <w:rsid w:val="005B529F"/>
    <w:rsid w:val="005B5A33"/>
    <w:rsid w:val="005B66AF"/>
    <w:rsid w:val="005B6A5A"/>
    <w:rsid w:val="005B6A99"/>
    <w:rsid w:val="005B6DFF"/>
    <w:rsid w:val="005B753D"/>
    <w:rsid w:val="005B77F2"/>
    <w:rsid w:val="005B7896"/>
    <w:rsid w:val="005B79E8"/>
    <w:rsid w:val="005C0188"/>
    <w:rsid w:val="005C0354"/>
    <w:rsid w:val="005C0791"/>
    <w:rsid w:val="005C1803"/>
    <w:rsid w:val="005C1A09"/>
    <w:rsid w:val="005C2274"/>
    <w:rsid w:val="005C2DD6"/>
    <w:rsid w:val="005C2F3A"/>
    <w:rsid w:val="005C331D"/>
    <w:rsid w:val="005C485D"/>
    <w:rsid w:val="005C4FCE"/>
    <w:rsid w:val="005C55C7"/>
    <w:rsid w:val="005C578A"/>
    <w:rsid w:val="005C59E4"/>
    <w:rsid w:val="005C6003"/>
    <w:rsid w:val="005C62C9"/>
    <w:rsid w:val="005C643A"/>
    <w:rsid w:val="005C6AC7"/>
    <w:rsid w:val="005C7FA5"/>
    <w:rsid w:val="005D0236"/>
    <w:rsid w:val="005D080A"/>
    <w:rsid w:val="005D0C3C"/>
    <w:rsid w:val="005D0CD6"/>
    <w:rsid w:val="005D113A"/>
    <w:rsid w:val="005D13B4"/>
    <w:rsid w:val="005D140B"/>
    <w:rsid w:val="005D14FD"/>
    <w:rsid w:val="005D16AF"/>
    <w:rsid w:val="005D1AE3"/>
    <w:rsid w:val="005D22C3"/>
    <w:rsid w:val="005D23C4"/>
    <w:rsid w:val="005D2C1D"/>
    <w:rsid w:val="005D2FB5"/>
    <w:rsid w:val="005D3122"/>
    <w:rsid w:val="005D3A91"/>
    <w:rsid w:val="005D3DC5"/>
    <w:rsid w:val="005D3DFB"/>
    <w:rsid w:val="005D4296"/>
    <w:rsid w:val="005D42A8"/>
    <w:rsid w:val="005D46BE"/>
    <w:rsid w:val="005D47EF"/>
    <w:rsid w:val="005D50D5"/>
    <w:rsid w:val="005D528C"/>
    <w:rsid w:val="005D5C3B"/>
    <w:rsid w:val="005D5F09"/>
    <w:rsid w:val="005D63B8"/>
    <w:rsid w:val="005E0095"/>
    <w:rsid w:val="005E0B30"/>
    <w:rsid w:val="005E0EB1"/>
    <w:rsid w:val="005E175C"/>
    <w:rsid w:val="005E1B07"/>
    <w:rsid w:val="005E1CEA"/>
    <w:rsid w:val="005E1E6D"/>
    <w:rsid w:val="005E21EB"/>
    <w:rsid w:val="005E2478"/>
    <w:rsid w:val="005E3AA1"/>
    <w:rsid w:val="005E3D30"/>
    <w:rsid w:val="005E4D84"/>
    <w:rsid w:val="005E57D1"/>
    <w:rsid w:val="005E5DE0"/>
    <w:rsid w:val="005E6C68"/>
    <w:rsid w:val="005E6FD7"/>
    <w:rsid w:val="005E7181"/>
    <w:rsid w:val="005E729C"/>
    <w:rsid w:val="005E7369"/>
    <w:rsid w:val="005E745A"/>
    <w:rsid w:val="005E7848"/>
    <w:rsid w:val="005E7B1F"/>
    <w:rsid w:val="005E7D13"/>
    <w:rsid w:val="005E7D39"/>
    <w:rsid w:val="005F02C6"/>
    <w:rsid w:val="005F0A3F"/>
    <w:rsid w:val="005F0E5A"/>
    <w:rsid w:val="005F1E51"/>
    <w:rsid w:val="005F23BC"/>
    <w:rsid w:val="005F2468"/>
    <w:rsid w:val="005F2647"/>
    <w:rsid w:val="005F27AC"/>
    <w:rsid w:val="005F27F9"/>
    <w:rsid w:val="005F29A2"/>
    <w:rsid w:val="005F2D34"/>
    <w:rsid w:val="005F31E2"/>
    <w:rsid w:val="005F4498"/>
    <w:rsid w:val="005F45BF"/>
    <w:rsid w:val="005F46CF"/>
    <w:rsid w:val="005F475F"/>
    <w:rsid w:val="005F5219"/>
    <w:rsid w:val="005F57D5"/>
    <w:rsid w:val="005F5A1A"/>
    <w:rsid w:val="005F6372"/>
    <w:rsid w:val="005F6838"/>
    <w:rsid w:val="005F6CDB"/>
    <w:rsid w:val="005F7002"/>
    <w:rsid w:val="00600CFF"/>
    <w:rsid w:val="00600E97"/>
    <w:rsid w:val="00600FE7"/>
    <w:rsid w:val="006019F0"/>
    <w:rsid w:val="00602284"/>
    <w:rsid w:val="00602444"/>
    <w:rsid w:val="00602CD0"/>
    <w:rsid w:val="006030C5"/>
    <w:rsid w:val="0060376F"/>
    <w:rsid w:val="00603A49"/>
    <w:rsid w:val="00604B28"/>
    <w:rsid w:val="006050D5"/>
    <w:rsid w:val="006051BA"/>
    <w:rsid w:val="00605276"/>
    <w:rsid w:val="00605CEE"/>
    <w:rsid w:val="00606037"/>
    <w:rsid w:val="006064CF"/>
    <w:rsid w:val="006066C1"/>
    <w:rsid w:val="006069A6"/>
    <w:rsid w:val="00606BAC"/>
    <w:rsid w:val="00606EB3"/>
    <w:rsid w:val="0061035D"/>
    <w:rsid w:val="0061061D"/>
    <w:rsid w:val="0061087A"/>
    <w:rsid w:val="00610C7A"/>
    <w:rsid w:val="0061192C"/>
    <w:rsid w:val="00611E84"/>
    <w:rsid w:val="006123BF"/>
    <w:rsid w:val="00612CF3"/>
    <w:rsid w:val="006139A3"/>
    <w:rsid w:val="00613A0C"/>
    <w:rsid w:val="00613B6D"/>
    <w:rsid w:val="00614667"/>
    <w:rsid w:val="006147C7"/>
    <w:rsid w:val="006149B8"/>
    <w:rsid w:val="00614E4F"/>
    <w:rsid w:val="0061696E"/>
    <w:rsid w:val="00617B22"/>
    <w:rsid w:val="0062002D"/>
    <w:rsid w:val="006204EA"/>
    <w:rsid w:val="00621102"/>
    <w:rsid w:val="006211FB"/>
    <w:rsid w:val="00621F87"/>
    <w:rsid w:val="006220C5"/>
    <w:rsid w:val="00623923"/>
    <w:rsid w:val="0062399C"/>
    <w:rsid w:val="00623B2D"/>
    <w:rsid w:val="00623C4F"/>
    <w:rsid w:val="00624355"/>
    <w:rsid w:val="0062502B"/>
    <w:rsid w:val="00626A03"/>
    <w:rsid w:val="00626A18"/>
    <w:rsid w:val="00626EF2"/>
    <w:rsid w:val="0062702C"/>
    <w:rsid w:val="00627ABF"/>
    <w:rsid w:val="00627CDC"/>
    <w:rsid w:val="00627D40"/>
    <w:rsid w:val="00630727"/>
    <w:rsid w:val="0063145E"/>
    <w:rsid w:val="0063190F"/>
    <w:rsid w:val="00631BA5"/>
    <w:rsid w:val="00632328"/>
    <w:rsid w:val="00632570"/>
    <w:rsid w:val="00633CB2"/>
    <w:rsid w:val="0063413F"/>
    <w:rsid w:val="006343D3"/>
    <w:rsid w:val="00634595"/>
    <w:rsid w:val="00636101"/>
    <w:rsid w:val="006368FA"/>
    <w:rsid w:val="0063757B"/>
    <w:rsid w:val="00637973"/>
    <w:rsid w:val="00637A62"/>
    <w:rsid w:val="00637B94"/>
    <w:rsid w:val="0064013D"/>
    <w:rsid w:val="00641166"/>
    <w:rsid w:val="00642032"/>
    <w:rsid w:val="00642AC3"/>
    <w:rsid w:val="00642B41"/>
    <w:rsid w:val="00642B9C"/>
    <w:rsid w:val="00643C1D"/>
    <w:rsid w:val="00643FB1"/>
    <w:rsid w:val="0064422C"/>
    <w:rsid w:val="00644499"/>
    <w:rsid w:val="0064468C"/>
    <w:rsid w:val="006458E7"/>
    <w:rsid w:val="00646333"/>
    <w:rsid w:val="00646849"/>
    <w:rsid w:val="006468AA"/>
    <w:rsid w:val="00646A40"/>
    <w:rsid w:val="00646E2A"/>
    <w:rsid w:val="00647772"/>
    <w:rsid w:val="006478B7"/>
    <w:rsid w:val="00650F72"/>
    <w:rsid w:val="00651915"/>
    <w:rsid w:val="00651CC7"/>
    <w:rsid w:val="00651DF3"/>
    <w:rsid w:val="006528EA"/>
    <w:rsid w:val="00652E2E"/>
    <w:rsid w:val="006532E8"/>
    <w:rsid w:val="0065459A"/>
    <w:rsid w:val="006546B1"/>
    <w:rsid w:val="00656785"/>
    <w:rsid w:val="00656A70"/>
    <w:rsid w:val="00656AD0"/>
    <w:rsid w:val="00656AE6"/>
    <w:rsid w:val="00657AB1"/>
    <w:rsid w:val="006600C3"/>
    <w:rsid w:val="00660B85"/>
    <w:rsid w:val="00661359"/>
    <w:rsid w:val="00661650"/>
    <w:rsid w:val="00661832"/>
    <w:rsid w:val="00661A29"/>
    <w:rsid w:val="00661B24"/>
    <w:rsid w:val="00661C52"/>
    <w:rsid w:val="00662748"/>
    <w:rsid w:val="00662806"/>
    <w:rsid w:val="00662929"/>
    <w:rsid w:val="00662E93"/>
    <w:rsid w:val="0066337B"/>
    <w:rsid w:val="00663438"/>
    <w:rsid w:val="00663E5F"/>
    <w:rsid w:val="006641C8"/>
    <w:rsid w:val="0066429A"/>
    <w:rsid w:val="00664863"/>
    <w:rsid w:val="0066486C"/>
    <w:rsid w:val="00664C8B"/>
    <w:rsid w:val="00664E0D"/>
    <w:rsid w:val="006651A8"/>
    <w:rsid w:val="00665BF6"/>
    <w:rsid w:val="00665C67"/>
    <w:rsid w:val="0066619A"/>
    <w:rsid w:val="00666576"/>
    <w:rsid w:val="00666928"/>
    <w:rsid w:val="00667073"/>
    <w:rsid w:val="0066748A"/>
    <w:rsid w:val="006674E9"/>
    <w:rsid w:val="00667B68"/>
    <w:rsid w:val="00667BF1"/>
    <w:rsid w:val="00667F47"/>
    <w:rsid w:val="00667FD0"/>
    <w:rsid w:val="00670173"/>
    <w:rsid w:val="0067120A"/>
    <w:rsid w:val="006717C6"/>
    <w:rsid w:val="00671ACB"/>
    <w:rsid w:val="00672005"/>
    <w:rsid w:val="006722C7"/>
    <w:rsid w:val="00672AB5"/>
    <w:rsid w:val="00672E47"/>
    <w:rsid w:val="00673186"/>
    <w:rsid w:val="006742C6"/>
    <w:rsid w:val="006743CC"/>
    <w:rsid w:val="006749AF"/>
    <w:rsid w:val="00674C8B"/>
    <w:rsid w:val="00674DB1"/>
    <w:rsid w:val="00674F36"/>
    <w:rsid w:val="006753BD"/>
    <w:rsid w:val="00675EF3"/>
    <w:rsid w:val="00675F0E"/>
    <w:rsid w:val="006765C9"/>
    <w:rsid w:val="006767FC"/>
    <w:rsid w:val="006768D1"/>
    <w:rsid w:val="00677547"/>
    <w:rsid w:val="00677A39"/>
    <w:rsid w:val="0068030E"/>
    <w:rsid w:val="006803EC"/>
    <w:rsid w:val="006808F3"/>
    <w:rsid w:val="00681128"/>
    <w:rsid w:val="00681208"/>
    <w:rsid w:val="00681409"/>
    <w:rsid w:val="006819CD"/>
    <w:rsid w:val="0068204A"/>
    <w:rsid w:val="0068287F"/>
    <w:rsid w:val="006828DA"/>
    <w:rsid w:val="00682A14"/>
    <w:rsid w:val="00683316"/>
    <w:rsid w:val="0068439B"/>
    <w:rsid w:val="006843C5"/>
    <w:rsid w:val="00685104"/>
    <w:rsid w:val="006852F4"/>
    <w:rsid w:val="00685E89"/>
    <w:rsid w:val="0068604E"/>
    <w:rsid w:val="006865C1"/>
    <w:rsid w:val="00686610"/>
    <w:rsid w:val="00686DEE"/>
    <w:rsid w:val="00687409"/>
    <w:rsid w:val="006878D2"/>
    <w:rsid w:val="00687E87"/>
    <w:rsid w:val="00687F18"/>
    <w:rsid w:val="00690060"/>
    <w:rsid w:val="0069054D"/>
    <w:rsid w:val="00690D7A"/>
    <w:rsid w:val="006920CD"/>
    <w:rsid w:val="006922A3"/>
    <w:rsid w:val="00692727"/>
    <w:rsid w:val="00692C05"/>
    <w:rsid w:val="00692C6E"/>
    <w:rsid w:val="00692C8B"/>
    <w:rsid w:val="00695774"/>
    <w:rsid w:val="00695CDF"/>
    <w:rsid w:val="00695F5E"/>
    <w:rsid w:val="00696B3E"/>
    <w:rsid w:val="00696F72"/>
    <w:rsid w:val="006971E8"/>
    <w:rsid w:val="006973E1"/>
    <w:rsid w:val="006974FB"/>
    <w:rsid w:val="006A00A5"/>
    <w:rsid w:val="006A00E2"/>
    <w:rsid w:val="006A0C65"/>
    <w:rsid w:val="006A0E64"/>
    <w:rsid w:val="006A13A9"/>
    <w:rsid w:val="006A2326"/>
    <w:rsid w:val="006A2379"/>
    <w:rsid w:val="006A2B83"/>
    <w:rsid w:val="006A3093"/>
    <w:rsid w:val="006A3431"/>
    <w:rsid w:val="006A3533"/>
    <w:rsid w:val="006A3764"/>
    <w:rsid w:val="006A3F82"/>
    <w:rsid w:val="006A4F62"/>
    <w:rsid w:val="006A6350"/>
    <w:rsid w:val="006A6CC5"/>
    <w:rsid w:val="006A6DBC"/>
    <w:rsid w:val="006A739C"/>
    <w:rsid w:val="006A73EC"/>
    <w:rsid w:val="006B01D0"/>
    <w:rsid w:val="006B024F"/>
    <w:rsid w:val="006B2420"/>
    <w:rsid w:val="006B2F1B"/>
    <w:rsid w:val="006B3DEE"/>
    <w:rsid w:val="006B40C5"/>
    <w:rsid w:val="006B4156"/>
    <w:rsid w:val="006B424D"/>
    <w:rsid w:val="006B4EC5"/>
    <w:rsid w:val="006B4F59"/>
    <w:rsid w:val="006B5A21"/>
    <w:rsid w:val="006B5C2B"/>
    <w:rsid w:val="006B6123"/>
    <w:rsid w:val="006B65CB"/>
    <w:rsid w:val="006B6C79"/>
    <w:rsid w:val="006B6E1C"/>
    <w:rsid w:val="006B7041"/>
    <w:rsid w:val="006B79FF"/>
    <w:rsid w:val="006C01D4"/>
    <w:rsid w:val="006C02E3"/>
    <w:rsid w:val="006C0578"/>
    <w:rsid w:val="006C0C1C"/>
    <w:rsid w:val="006C0E76"/>
    <w:rsid w:val="006C14F7"/>
    <w:rsid w:val="006C2145"/>
    <w:rsid w:val="006C42EB"/>
    <w:rsid w:val="006C4AA6"/>
    <w:rsid w:val="006C52FC"/>
    <w:rsid w:val="006C5538"/>
    <w:rsid w:val="006D021E"/>
    <w:rsid w:val="006D0872"/>
    <w:rsid w:val="006D087F"/>
    <w:rsid w:val="006D0C3A"/>
    <w:rsid w:val="006D1B57"/>
    <w:rsid w:val="006D2A22"/>
    <w:rsid w:val="006D2E1D"/>
    <w:rsid w:val="006D39F4"/>
    <w:rsid w:val="006D3C1B"/>
    <w:rsid w:val="006D40C0"/>
    <w:rsid w:val="006D440A"/>
    <w:rsid w:val="006D450F"/>
    <w:rsid w:val="006D53F0"/>
    <w:rsid w:val="006D564B"/>
    <w:rsid w:val="006D56E8"/>
    <w:rsid w:val="006D5723"/>
    <w:rsid w:val="006D5AD8"/>
    <w:rsid w:val="006D5C20"/>
    <w:rsid w:val="006D61AC"/>
    <w:rsid w:val="006D63D8"/>
    <w:rsid w:val="006D6784"/>
    <w:rsid w:val="006D6DAE"/>
    <w:rsid w:val="006D718D"/>
    <w:rsid w:val="006D7EC3"/>
    <w:rsid w:val="006D7F73"/>
    <w:rsid w:val="006E045D"/>
    <w:rsid w:val="006E064F"/>
    <w:rsid w:val="006E0AF5"/>
    <w:rsid w:val="006E0B83"/>
    <w:rsid w:val="006E0B9D"/>
    <w:rsid w:val="006E0C73"/>
    <w:rsid w:val="006E1026"/>
    <w:rsid w:val="006E21DD"/>
    <w:rsid w:val="006E26F5"/>
    <w:rsid w:val="006E392D"/>
    <w:rsid w:val="006E4575"/>
    <w:rsid w:val="006E4905"/>
    <w:rsid w:val="006E5D1A"/>
    <w:rsid w:val="006E5FCA"/>
    <w:rsid w:val="006E6259"/>
    <w:rsid w:val="006E6B01"/>
    <w:rsid w:val="006E6C46"/>
    <w:rsid w:val="006E6E89"/>
    <w:rsid w:val="006E7340"/>
    <w:rsid w:val="006E75A8"/>
    <w:rsid w:val="006F0AA0"/>
    <w:rsid w:val="006F0E01"/>
    <w:rsid w:val="006F1373"/>
    <w:rsid w:val="006F1AAA"/>
    <w:rsid w:val="006F2747"/>
    <w:rsid w:val="006F32DC"/>
    <w:rsid w:val="006F38F5"/>
    <w:rsid w:val="006F3F60"/>
    <w:rsid w:val="006F453E"/>
    <w:rsid w:val="006F4624"/>
    <w:rsid w:val="006F4E95"/>
    <w:rsid w:val="006F5963"/>
    <w:rsid w:val="006F6061"/>
    <w:rsid w:val="006F6EA6"/>
    <w:rsid w:val="006F76C4"/>
    <w:rsid w:val="007002DA"/>
    <w:rsid w:val="00700917"/>
    <w:rsid w:val="007014CD"/>
    <w:rsid w:val="00701538"/>
    <w:rsid w:val="00701860"/>
    <w:rsid w:val="00701F33"/>
    <w:rsid w:val="00701F68"/>
    <w:rsid w:val="007021B4"/>
    <w:rsid w:val="007022E4"/>
    <w:rsid w:val="00702626"/>
    <w:rsid w:val="00702762"/>
    <w:rsid w:val="00702C30"/>
    <w:rsid w:val="00702CBA"/>
    <w:rsid w:val="00702E6E"/>
    <w:rsid w:val="00702FE6"/>
    <w:rsid w:val="0070369C"/>
    <w:rsid w:val="0070399F"/>
    <w:rsid w:val="0070406C"/>
    <w:rsid w:val="00704184"/>
    <w:rsid w:val="007055B0"/>
    <w:rsid w:val="007057B9"/>
    <w:rsid w:val="00705B8F"/>
    <w:rsid w:val="00705C34"/>
    <w:rsid w:val="00705F9C"/>
    <w:rsid w:val="00706A69"/>
    <w:rsid w:val="00707095"/>
    <w:rsid w:val="00707295"/>
    <w:rsid w:val="00707402"/>
    <w:rsid w:val="0070747B"/>
    <w:rsid w:val="00707606"/>
    <w:rsid w:val="007104C8"/>
    <w:rsid w:val="007105AD"/>
    <w:rsid w:val="007107B4"/>
    <w:rsid w:val="007111ED"/>
    <w:rsid w:val="007112A4"/>
    <w:rsid w:val="00711B85"/>
    <w:rsid w:val="00711BAC"/>
    <w:rsid w:val="007123F3"/>
    <w:rsid w:val="00713250"/>
    <w:rsid w:val="00713F72"/>
    <w:rsid w:val="00713FBD"/>
    <w:rsid w:val="0071409F"/>
    <w:rsid w:val="00714176"/>
    <w:rsid w:val="00715062"/>
    <w:rsid w:val="00715384"/>
    <w:rsid w:val="00715570"/>
    <w:rsid w:val="00715E20"/>
    <w:rsid w:val="00716273"/>
    <w:rsid w:val="00716950"/>
    <w:rsid w:val="00716FD4"/>
    <w:rsid w:val="00717183"/>
    <w:rsid w:val="00717492"/>
    <w:rsid w:val="00717D39"/>
    <w:rsid w:val="00720559"/>
    <w:rsid w:val="00720746"/>
    <w:rsid w:val="00720A5C"/>
    <w:rsid w:val="00720D2F"/>
    <w:rsid w:val="00720F54"/>
    <w:rsid w:val="00721E42"/>
    <w:rsid w:val="0072215B"/>
    <w:rsid w:val="007224CA"/>
    <w:rsid w:val="0072254F"/>
    <w:rsid w:val="00722A97"/>
    <w:rsid w:val="00722BEC"/>
    <w:rsid w:val="00724819"/>
    <w:rsid w:val="007248F1"/>
    <w:rsid w:val="0072498D"/>
    <w:rsid w:val="007249CD"/>
    <w:rsid w:val="00724A67"/>
    <w:rsid w:val="00724F14"/>
    <w:rsid w:val="00724FD5"/>
    <w:rsid w:val="0072527F"/>
    <w:rsid w:val="00725330"/>
    <w:rsid w:val="00725413"/>
    <w:rsid w:val="007256F8"/>
    <w:rsid w:val="00725C3A"/>
    <w:rsid w:val="007264A3"/>
    <w:rsid w:val="0072796D"/>
    <w:rsid w:val="00727C90"/>
    <w:rsid w:val="00727D23"/>
    <w:rsid w:val="00730121"/>
    <w:rsid w:val="00730A27"/>
    <w:rsid w:val="00730CA8"/>
    <w:rsid w:val="00730CE1"/>
    <w:rsid w:val="00731F36"/>
    <w:rsid w:val="00731F80"/>
    <w:rsid w:val="00733008"/>
    <w:rsid w:val="007330EF"/>
    <w:rsid w:val="00733110"/>
    <w:rsid w:val="007331DD"/>
    <w:rsid w:val="007332EC"/>
    <w:rsid w:val="00733BDF"/>
    <w:rsid w:val="00733FE9"/>
    <w:rsid w:val="00734734"/>
    <w:rsid w:val="00734B1B"/>
    <w:rsid w:val="00734E11"/>
    <w:rsid w:val="00734F9E"/>
    <w:rsid w:val="00735805"/>
    <w:rsid w:val="00735A79"/>
    <w:rsid w:val="00736044"/>
    <w:rsid w:val="007369F6"/>
    <w:rsid w:val="00736BA0"/>
    <w:rsid w:val="00737815"/>
    <w:rsid w:val="00740443"/>
    <w:rsid w:val="00740444"/>
    <w:rsid w:val="00740A08"/>
    <w:rsid w:val="0074157A"/>
    <w:rsid w:val="0074171D"/>
    <w:rsid w:val="00741BF1"/>
    <w:rsid w:val="00742097"/>
    <w:rsid w:val="00742171"/>
    <w:rsid w:val="00742563"/>
    <w:rsid w:val="0074279C"/>
    <w:rsid w:val="00742910"/>
    <w:rsid w:val="00742A1C"/>
    <w:rsid w:val="00742D7E"/>
    <w:rsid w:val="007431AB"/>
    <w:rsid w:val="00743276"/>
    <w:rsid w:val="0074357F"/>
    <w:rsid w:val="00743B70"/>
    <w:rsid w:val="007441F3"/>
    <w:rsid w:val="00744F9A"/>
    <w:rsid w:val="00745472"/>
    <w:rsid w:val="007454BE"/>
    <w:rsid w:val="00745C3C"/>
    <w:rsid w:val="00745FB6"/>
    <w:rsid w:val="0074616B"/>
    <w:rsid w:val="00746496"/>
    <w:rsid w:val="00746509"/>
    <w:rsid w:val="00746AA5"/>
    <w:rsid w:val="00746BFB"/>
    <w:rsid w:val="00746C65"/>
    <w:rsid w:val="00746DFB"/>
    <w:rsid w:val="00746E53"/>
    <w:rsid w:val="00747262"/>
    <w:rsid w:val="00747447"/>
    <w:rsid w:val="00747521"/>
    <w:rsid w:val="007477E5"/>
    <w:rsid w:val="00747D06"/>
    <w:rsid w:val="0075014A"/>
    <w:rsid w:val="00750196"/>
    <w:rsid w:val="0075019A"/>
    <w:rsid w:val="0075035B"/>
    <w:rsid w:val="007507F4"/>
    <w:rsid w:val="00750BC5"/>
    <w:rsid w:val="007512D5"/>
    <w:rsid w:val="00751E72"/>
    <w:rsid w:val="00752680"/>
    <w:rsid w:val="00752D45"/>
    <w:rsid w:val="00752D9C"/>
    <w:rsid w:val="00753458"/>
    <w:rsid w:val="00753AE1"/>
    <w:rsid w:val="00753F2B"/>
    <w:rsid w:val="00754092"/>
    <w:rsid w:val="00754504"/>
    <w:rsid w:val="00754B48"/>
    <w:rsid w:val="0075514B"/>
    <w:rsid w:val="00755178"/>
    <w:rsid w:val="0075550A"/>
    <w:rsid w:val="007555DC"/>
    <w:rsid w:val="007557CC"/>
    <w:rsid w:val="00755E59"/>
    <w:rsid w:val="00756E51"/>
    <w:rsid w:val="007572D2"/>
    <w:rsid w:val="0075733C"/>
    <w:rsid w:val="007573C6"/>
    <w:rsid w:val="00757FE7"/>
    <w:rsid w:val="00760F2B"/>
    <w:rsid w:val="007610E3"/>
    <w:rsid w:val="00761344"/>
    <w:rsid w:val="007615CA"/>
    <w:rsid w:val="00761A71"/>
    <w:rsid w:val="0076219B"/>
    <w:rsid w:val="00762429"/>
    <w:rsid w:val="00762617"/>
    <w:rsid w:val="007632D5"/>
    <w:rsid w:val="00763930"/>
    <w:rsid w:val="00763A4F"/>
    <w:rsid w:val="00763B8F"/>
    <w:rsid w:val="007643BF"/>
    <w:rsid w:val="007653F0"/>
    <w:rsid w:val="007654E7"/>
    <w:rsid w:val="00765E3C"/>
    <w:rsid w:val="00766ABA"/>
    <w:rsid w:val="007670C6"/>
    <w:rsid w:val="00767278"/>
    <w:rsid w:val="00767810"/>
    <w:rsid w:val="00767855"/>
    <w:rsid w:val="00767C03"/>
    <w:rsid w:val="00767ED8"/>
    <w:rsid w:val="0077031C"/>
    <w:rsid w:val="00770445"/>
    <w:rsid w:val="00770A98"/>
    <w:rsid w:val="00770BD9"/>
    <w:rsid w:val="00771467"/>
    <w:rsid w:val="00771EAE"/>
    <w:rsid w:val="00772169"/>
    <w:rsid w:val="00772ED9"/>
    <w:rsid w:val="0077354F"/>
    <w:rsid w:val="007742D9"/>
    <w:rsid w:val="0077455C"/>
    <w:rsid w:val="00774D0B"/>
    <w:rsid w:val="00774E92"/>
    <w:rsid w:val="007757A7"/>
    <w:rsid w:val="00776EC5"/>
    <w:rsid w:val="0078034A"/>
    <w:rsid w:val="00780E3C"/>
    <w:rsid w:val="00781872"/>
    <w:rsid w:val="00781BFE"/>
    <w:rsid w:val="00782781"/>
    <w:rsid w:val="007830CA"/>
    <w:rsid w:val="007833D9"/>
    <w:rsid w:val="007833DC"/>
    <w:rsid w:val="007836BB"/>
    <w:rsid w:val="00783C8D"/>
    <w:rsid w:val="00784249"/>
    <w:rsid w:val="007842D1"/>
    <w:rsid w:val="00784379"/>
    <w:rsid w:val="0078446D"/>
    <w:rsid w:val="00784B60"/>
    <w:rsid w:val="00784FEA"/>
    <w:rsid w:val="007863A7"/>
    <w:rsid w:val="00787CA2"/>
    <w:rsid w:val="00787E5F"/>
    <w:rsid w:val="00787EBA"/>
    <w:rsid w:val="00790265"/>
    <w:rsid w:val="007908CA"/>
    <w:rsid w:val="00790BB6"/>
    <w:rsid w:val="00791026"/>
    <w:rsid w:val="00791227"/>
    <w:rsid w:val="007913A1"/>
    <w:rsid w:val="00791465"/>
    <w:rsid w:val="00792DCD"/>
    <w:rsid w:val="00792FF3"/>
    <w:rsid w:val="0079352A"/>
    <w:rsid w:val="007935D0"/>
    <w:rsid w:val="00793B1A"/>
    <w:rsid w:val="00793E6B"/>
    <w:rsid w:val="007940B7"/>
    <w:rsid w:val="00794231"/>
    <w:rsid w:val="00794475"/>
    <w:rsid w:val="00794B34"/>
    <w:rsid w:val="00794E13"/>
    <w:rsid w:val="00794EA2"/>
    <w:rsid w:val="00794F54"/>
    <w:rsid w:val="00795855"/>
    <w:rsid w:val="00796185"/>
    <w:rsid w:val="0079698D"/>
    <w:rsid w:val="007973CE"/>
    <w:rsid w:val="00797AAF"/>
    <w:rsid w:val="00797D8E"/>
    <w:rsid w:val="00797E61"/>
    <w:rsid w:val="007A058F"/>
    <w:rsid w:val="007A0A98"/>
    <w:rsid w:val="007A0E4C"/>
    <w:rsid w:val="007A1FDB"/>
    <w:rsid w:val="007A25AC"/>
    <w:rsid w:val="007A3156"/>
    <w:rsid w:val="007A33A5"/>
    <w:rsid w:val="007A34E1"/>
    <w:rsid w:val="007A370A"/>
    <w:rsid w:val="007A37AB"/>
    <w:rsid w:val="007A3E09"/>
    <w:rsid w:val="007A50E3"/>
    <w:rsid w:val="007A554A"/>
    <w:rsid w:val="007A6599"/>
    <w:rsid w:val="007A6C66"/>
    <w:rsid w:val="007A7222"/>
    <w:rsid w:val="007A79C5"/>
    <w:rsid w:val="007A7F3D"/>
    <w:rsid w:val="007B0171"/>
    <w:rsid w:val="007B0A60"/>
    <w:rsid w:val="007B2262"/>
    <w:rsid w:val="007B283A"/>
    <w:rsid w:val="007B2AE0"/>
    <w:rsid w:val="007B3098"/>
    <w:rsid w:val="007B3545"/>
    <w:rsid w:val="007B37F5"/>
    <w:rsid w:val="007B3979"/>
    <w:rsid w:val="007B4685"/>
    <w:rsid w:val="007B4F35"/>
    <w:rsid w:val="007B5AC1"/>
    <w:rsid w:val="007B5C08"/>
    <w:rsid w:val="007B5D93"/>
    <w:rsid w:val="007B6447"/>
    <w:rsid w:val="007B66FB"/>
    <w:rsid w:val="007B6D60"/>
    <w:rsid w:val="007B6DE2"/>
    <w:rsid w:val="007C0046"/>
    <w:rsid w:val="007C0265"/>
    <w:rsid w:val="007C098F"/>
    <w:rsid w:val="007C0B4A"/>
    <w:rsid w:val="007C1054"/>
    <w:rsid w:val="007C1057"/>
    <w:rsid w:val="007C108F"/>
    <w:rsid w:val="007C16EB"/>
    <w:rsid w:val="007C1B8B"/>
    <w:rsid w:val="007C1CCD"/>
    <w:rsid w:val="007C2653"/>
    <w:rsid w:val="007C2AEB"/>
    <w:rsid w:val="007C2DB2"/>
    <w:rsid w:val="007C36FC"/>
    <w:rsid w:val="007C3F51"/>
    <w:rsid w:val="007C40F9"/>
    <w:rsid w:val="007C43BE"/>
    <w:rsid w:val="007C45E9"/>
    <w:rsid w:val="007C4840"/>
    <w:rsid w:val="007C4C44"/>
    <w:rsid w:val="007C4CB4"/>
    <w:rsid w:val="007C51E9"/>
    <w:rsid w:val="007C53AC"/>
    <w:rsid w:val="007C5965"/>
    <w:rsid w:val="007C598C"/>
    <w:rsid w:val="007C5D45"/>
    <w:rsid w:val="007C5F9F"/>
    <w:rsid w:val="007C676F"/>
    <w:rsid w:val="007C69BD"/>
    <w:rsid w:val="007C7B1C"/>
    <w:rsid w:val="007D02EB"/>
    <w:rsid w:val="007D05E8"/>
    <w:rsid w:val="007D112D"/>
    <w:rsid w:val="007D16B7"/>
    <w:rsid w:val="007D1C82"/>
    <w:rsid w:val="007D1E99"/>
    <w:rsid w:val="007D1F54"/>
    <w:rsid w:val="007D275E"/>
    <w:rsid w:val="007D32F6"/>
    <w:rsid w:val="007D37E6"/>
    <w:rsid w:val="007D3BC5"/>
    <w:rsid w:val="007D3EDC"/>
    <w:rsid w:val="007D4401"/>
    <w:rsid w:val="007D46CF"/>
    <w:rsid w:val="007D5194"/>
    <w:rsid w:val="007D5849"/>
    <w:rsid w:val="007D6462"/>
    <w:rsid w:val="007D68FB"/>
    <w:rsid w:val="007D7A55"/>
    <w:rsid w:val="007E012B"/>
    <w:rsid w:val="007E06C6"/>
    <w:rsid w:val="007E0FA3"/>
    <w:rsid w:val="007E161E"/>
    <w:rsid w:val="007E1F1E"/>
    <w:rsid w:val="007E200B"/>
    <w:rsid w:val="007E2E50"/>
    <w:rsid w:val="007E347A"/>
    <w:rsid w:val="007E3DF1"/>
    <w:rsid w:val="007E4567"/>
    <w:rsid w:val="007E4EAA"/>
    <w:rsid w:val="007E4F80"/>
    <w:rsid w:val="007E512D"/>
    <w:rsid w:val="007E5351"/>
    <w:rsid w:val="007E5AA1"/>
    <w:rsid w:val="007E654F"/>
    <w:rsid w:val="007E68EF"/>
    <w:rsid w:val="007E6B69"/>
    <w:rsid w:val="007E7793"/>
    <w:rsid w:val="007F03A6"/>
    <w:rsid w:val="007F0716"/>
    <w:rsid w:val="007F0F8D"/>
    <w:rsid w:val="007F10E8"/>
    <w:rsid w:val="007F158A"/>
    <w:rsid w:val="007F1798"/>
    <w:rsid w:val="007F188C"/>
    <w:rsid w:val="007F25D3"/>
    <w:rsid w:val="007F2BB1"/>
    <w:rsid w:val="007F3487"/>
    <w:rsid w:val="007F3C7D"/>
    <w:rsid w:val="007F425A"/>
    <w:rsid w:val="007F4BB3"/>
    <w:rsid w:val="007F4D6F"/>
    <w:rsid w:val="007F5393"/>
    <w:rsid w:val="007F53E0"/>
    <w:rsid w:val="007F5713"/>
    <w:rsid w:val="007F71F0"/>
    <w:rsid w:val="007F762B"/>
    <w:rsid w:val="007F768A"/>
    <w:rsid w:val="007F7D1A"/>
    <w:rsid w:val="0080032C"/>
    <w:rsid w:val="008004FA"/>
    <w:rsid w:val="00800885"/>
    <w:rsid w:val="008008BC"/>
    <w:rsid w:val="008008F9"/>
    <w:rsid w:val="00801436"/>
    <w:rsid w:val="008014FC"/>
    <w:rsid w:val="0080159C"/>
    <w:rsid w:val="00801C31"/>
    <w:rsid w:val="008021A6"/>
    <w:rsid w:val="008021D2"/>
    <w:rsid w:val="008025A9"/>
    <w:rsid w:val="008026FB"/>
    <w:rsid w:val="008033DC"/>
    <w:rsid w:val="00803C60"/>
    <w:rsid w:val="00804323"/>
    <w:rsid w:val="00804928"/>
    <w:rsid w:val="00804A5F"/>
    <w:rsid w:val="008058D5"/>
    <w:rsid w:val="00805C7A"/>
    <w:rsid w:val="00805C85"/>
    <w:rsid w:val="00805D36"/>
    <w:rsid w:val="00805DE4"/>
    <w:rsid w:val="0080669E"/>
    <w:rsid w:val="0080672A"/>
    <w:rsid w:val="00806883"/>
    <w:rsid w:val="008104B9"/>
    <w:rsid w:val="008105C9"/>
    <w:rsid w:val="0081065C"/>
    <w:rsid w:val="00810CC2"/>
    <w:rsid w:val="0081120A"/>
    <w:rsid w:val="00811807"/>
    <w:rsid w:val="00811EA4"/>
    <w:rsid w:val="00811F20"/>
    <w:rsid w:val="00812D56"/>
    <w:rsid w:val="008139F3"/>
    <w:rsid w:val="00813BFC"/>
    <w:rsid w:val="00814564"/>
    <w:rsid w:val="0081460F"/>
    <w:rsid w:val="00814702"/>
    <w:rsid w:val="0081470F"/>
    <w:rsid w:val="00814848"/>
    <w:rsid w:val="008149C9"/>
    <w:rsid w:val="00814DE4"/>
    <w:rsid w:val="0081561D"/>
    <w:rsid w:val="0081565B"/>
    <w:rsid w:val="00815C81"/>
    <w:rsid w:val="00816A0C"/>
    <w:rsid w:val="00816A0D"/>
    <w:rsid w:val="00816B52"/>
    <w:rsid w:val="00816EDF"/>
    <w:rsid w:val="008172CD"/>
    <w:rsid w:val="008205CC"/>
    <w:rsid w:val="00821302"/>
    <w:rsid w:val="00821677"/>
    <w:rsid w:val="00821BE0"/>
    <w:rsid w:val="00821F10"/>
    <w:rsid w:val="008220D6"/>
    <w:rsid w:val="008220FE"/>
    <w:rsid w:val="008222F4"/>
    <w:rsid w:val="00823518"/>
    <w:rsid w:val="00824253"/>
    <w:rsid w:val="00824E9D"/>
    <w:rsid w:val="00825352"/>
    <w:rsid w:val="00825572"/>
    <w:rsid w:val="008259E7"/>
    <w:rsid w:val="008261B9"/>
    <w:rsid w:val="0082624A"/>
    <w:rsid w:val="00826F99"/>
    <w:rsid w:val="00827061"/>
    <w:rsid w:val="008271D7"/>
    <w:rsid w:val="0082794A"/>
    <w:rsid w:val="00827C90"/>
    <w:rsid w:val="008309F8"/>
    <w:rsid w:val="008314DC"/>
    <w:rsid w:val="008326DD"/>
    <w:rsid w:val="0083399A"/>
    <w:rsid w:val="00834012"/>
    <w:rsid w:val="008347A0"/>
    <w:rsid w:val="008349D0"/>
    <w:rsid w:val="00835F0B"/>
    <w:rsid w:val="0083630D"/>
    <w:rsid w:val="00836581"/>
    <w:rsid w:val="00836AAF"/>
    <w:rsid w:val="00836F56"/>
    <w:rsid w:val="008370F1"/>
    <w:rsid w:val="0083768D"/>
    <w:rsid w:val="00837DA5"/>
    <w:rsid w:val="0084100F"/>
    <w:rsid w:val="0084163E"/>
    <w:rsid w:val="00841988"/>
    <w:rsid w:val="0084198E"/>
    <w:rsid w:val="00841BF0"/>
    <w:rsid w:val="00841DF5"/>
    <w:rsid w:val="00841F70"/>
    <w:rsid w:val="008420F3"/>
    <w:rsid w:val="008425D3"/>
    <w:rsid w:val="00842C9F"/>
    <w:rsid w:val="0084349A"/>
    <w:rsid w:val="00843878"/>
    <w:rsid w:val="00843A3E"/>
    <w:rsid w:val="00843E9E"/>
    <w:rsid w:val="00844407"/>
    <w:rsid w:val="0084457D"/>
    <w:rsid w:val="00844658"/>
    <w:rsid w:val="00844AFC"/>
    <w:rsid w:val="008451F6"/>
    <w:rsid w:val="00845861"/>
    <w:rsid w:val="00845C9D"/>
    <w:rsid w:val="00845D98"/>
    <w:rsid w:val="008464BF"/>
    <w:rsid w:val="0084695F"/>
    <w:rsid w:val="0084699A"/>
    <w:rsid w:val="00846C6F"/>
    <w:rsid w:val="00846EB0"/>
    <w:rsid w:val="008474CF"/>
    <w:rsid w:val="00847BA4"/>
    <w:rsid w:val="00847CA2"/>
    <w:rsid w:val="0085043A"/>
    <w:rsid w:val="0085079F"/>
    <w:rsid w:val="008515F9"/>
    <w:rsid w:val="00852F49"/>
    <w:rsid w:val="00853378"/>
    <w:rsid w:val="00854264"/>
    <w:rsid w:val="00854E8A"/>
    <w:rsid w:val="00855098"/>
    <w:rsid w:val="0085604D"/>
    <w:rsid w:val="00856465"/>
    <w:rsid w:val="00856503"/>
    <w:rsid w:val="0085687C"/>
    <w:rsid w:val="008571CB"/>
    <w:rsid w:val="00857AB3"/>
    <w:rsid w:val="00857B5B"/>
    <w:rsid w:val="00857BAC"/>
    <w:rsid w:val="0086031D"/>
    <w:rsid w:val="008603A3"/>
    <w:rsid w:val="0086085B"/>
    <w:rsid w:val="008609E2"/>
    <w:rsid w:val="00860A55"/>
    <w:rsid w:val="0086130D"/>
    <w:rsid w:val="0086164A"/>
    <w:rsid w:val="0086186C"/>
    <w:rsid w:val="00861E6D"/>
    <w:rsid w:val="00862EA9"/>
    <w:rsid w:val="00863366"/>
    <w:rsid w:val="00863BC5"/>
    <w:rsid w:val="00864033"/>
    <w:rsid w:val="008642D9"/>
    <w:rsid w:val="0086478B"/>
    <w:rsid w:val="00864AE1"/>
    <w:rsid w:val="00864DE4"/>
    <w:rsid w:val="0086512D"/>
    <w:rsid w:val="0086554E"/>
    <w:rsid w:val="00865DB0"/>
    <w:rsid w:val="0086679C"/>
    <w:rsid w:val="008669ED"/>
    <w:rsid w:val="00867113"/>
    <w:rsid w:val="00867319"/>
    <w:rsid w:val="00867930"/>
    <w:rsid w:val="00867A58"/>
    <w:rsid w:val="00867D75"/>
    <w:rsid w:val="00867F6E"/>
    <w:rsid w:val="00870790"/>
    <w:rsid w:val="008719CB"/>
    <w:rsid w:val="00872638"/>
    <w:rsid w:val="0087285B"/>
    <w:rsid w:val="00872FC5"/>
    <w:rsid w:val="00873ADE"/>
    <w:rsid w:val="00873FCE"/>
    <w:rsid w:val="008745C0"/>
    <w:rsid w:val="00874843"/>
    <w:rsid w:val="00874A88"/>
    <w:rsid w:val="00874B1B"/>
    <w:rsid w:val="00874D1B"/>
    <w:rsid w:val="00875131"/>
    <w:rsid w:val="008751F0"/>
    <w:rsid w:val="008759E3"/>
    <w:rsid w:val="00875A9A"/>
    <w:rsid w:val="00875E17"/>
    <w:rsid w:val="00876275"/>
    <w:rsid w:val="008762C0"/>
    <w:rsid w:val="00876DC9"/>
    <w:rsid w:val="008772C1"/>
    <w:rsid w:val="008776A5"/>
    <w:rsid w:val="00877AE3"/>
    <w:rsid w:val="00877CB7"/>
    <w:rsid w:val="00880002"/>
    <w:rsid w:val="00880768"/>
    <w:rsid w:val="008809C7"/>
    <w:rsid w:val="00880D80"/>
    <w:rsid w:val="0088143C"/>
    <w:rsid w:val="008814FE"/>
    <w:rsid w:val="00882174"/>
    <w:rsid w:val="00882539"/>
    <w:rsid w:val="008828CF"/>
    <w:rsid w:val="00882F8B"/>
    <w:rsid w:val="00883064"/>
    <w:rsid w:val="008838EF"/>
    <w:rsid w:val="00883FCD"/>
    <w:rsid w:val="00884603"/>
    <w:rsid w:val="00884653"/>
    <w:rsid w:val="008847E1"/>
    <w:rsid w:val="008850F3"/>
    <w:rsid w:val="00885601"/>
    <w:rsid w:val="00885859"/>
    <w:rsid w:val="008861D3"/>
    <w:rsid w:val="008870A0"/>
    <w:rsid w:val="00887500"/>
    <w:rsid w:val="00887952"/>
    <w:rsid w:val="0089036E"/>
    <w:rsid w:val="00890E76"/>
    <w:rsid w:val="00890F50"/>
    <w:rsid w:val="00890F9E"/>
    <w:rsid w:val="0089189E"/>
    <w:rsid w:val="008918FD"/>
    <w:rsid w:val="00891CFC"/>
    <w:rsid w:val="00892218"/>
    <w:rsid w:val="00893971"/>
    <w:rsid w:val="00894647"/>
    <w:rsid w:val="008948F2"/>
    <w:rsid w:val="00894A49"/>
    <w:rsid w:val="00894AA0"/>
    <w:rsid w:val="00894E19"/>
    <w:rsid w:val="008951B6"/>
    <w:rsid w:val="00895565"/>
    <w:rsid w:val="0089561C"/>
    <w:rsid w:val="00895BAF"/>
    <w:rsid w:val="008960F2"/>
    <w:rsid w:val="00896201"/>
    <w:rsid w:val="00896342"/>
    <w:rsid w:val="008969F4"/>
    <w:rsid w:val="00897091"/>
    <w:rsid w:val="0089767F"/>
    <w:rsid w:val="008A0061"/>
    <w:rsid w:val="008A050B"/>
    <w:rsid w:val="008A0586"/>
    <w:rsid w:val="008A0D48"/>
    <w:rsid w:val="008A17C8"/>
    <w:rsid w:val="008A1CA8"/>
    <w:rsid w:val="008A1D42"/>
    <w:rsid w:val="008A21C8"/>
    <w:rsid w:val="008A2CAD"/>
    <w:rsid w:val="008A30B1"/>
    <w:rsid w:val="008A3543"/>
    <w:rsid w:val="008A3724"/>
    <w:rsid w:val="008A3C6A"/>
    <w:rsid w:val="008A499B"/>
    <w:rsid w:val="008A4B6C"/>
    <w:rsid w:val="008A4C24"/>
    <w:rsid w:val="008A5AA1"/>
    <w:rsid w:val="008A5B91"/>
    <w:rsid w:val="008A6214"/>
    <w:rsid w:val="008A6322"/>
    <w:rsid w:val="008A6905"/>
    <w:rsid w:val="008A6F12"/>
    <w:rsid w:val="008A7150"/>
    <w:rsid w:val="008A7D31"/>
    <w:rsid w:val="008B04BE"/>
    <w:rsid w:val="008B0656"/>
    <w:rsid w:val="008B085A"/>
    <w:rsid w:val="008B0A04"/>
    <w:rsid w:val="008B10D3"/>
    <w:rsid w:val="008B1433"/>
    <w:rsid w:val="008B15D1"/>
    <w:rsid w:val="008B16E6"/>
    <w:rsid w:val="008B18C5"/>
    <w:rsid w:val="008B1A15"/>
    <w:rsid w:val="008B2748"/>
    <w:rsid w:val="008B281E"/>
    <w:rsid w:val="008B2BC8"/>
    <w:rsid w:val="008B3578"/>
    <w:rsid w:val="008B4289"/>
    <w:rsid w:val="008B44C8"/>
    <w:rsid w:val="008B468A"/>
    <w:rsid w:val="008B488D"/>
    <w:rsid w:val="008B49AA"/>
    <w:rsid w:val="008B4CF1"/>
    <w:rsid w:val="008B57AC"/>
    <w:rsid w:val="008B5D48"/>
    <w:rsid w:val="008B712A"/>
    <w:rsid w:val="008B7131"/>
    <w:rsid w:val="008B7520"/>
    <w:rsid w:val="008B7988"/>
    <w:rsid w:val="008C01D4"/>
    <w:rsid w:val="008C07E2"/>
    <w:rsid w:val="008C0977"/>
    <w:rsid w:val="008C0F4E"/>
    <w:rsid w:val="008C1331"/>
    <w:rsid w:val="008C1351"/>
    <w:rsid w:val="008C20B1"/>
    <w:rsid w:val="008C2B0F"/>
    <w:rsid w:val="008C3A05"/>
    <w:rsid w:val="008C3CA1"/>
    <w:rsid w:val="008C3EC4"/>
    <w:rsid w:val="008C41B1"/>
    <w:rsid w:val="008C47C4"/>
    <w:rsid w:val="008C4B1B"/>
    <w:rsid w:val="008C4F32"/>
    <w:rsid w:val="008C5840"/>
    <w:rsid w:val="008C58E1"/>
    <w:rsid w:val="008C5C5C"/>
    <w:rsid w:val="008C67AA"/>
    <w:rsid w:val="008C69FD"/>
    <w:rsid w:val="008C6A96"/>
    <w:rsid w:val="008C78D2"/>
    <w:rsid w:val="008C7E29"/>
    <w:rsid w:val="008D0217"/>
    <w:rsid w:val="008D035C"/>
    <w:rsid w:val="008D05BE"/>
    <w:rsid w:val="008D0651"/>
    <w:rsid w:val="008D06B7"/>
    <w:rsid w:val="008D0F6A"/>
    <w:rsid w:val="008D0F9F"/>
    <w:rsid w:val="008D113A"/>
    <w:rsid w:val="008D1724"/>
    <w:rsid w:val="008D224B"/>
    <w:rsid w:val="008D230D"/>
    <w:rsid w:val="008D34BC"/>
    <w:rsid w:val="008D38A2"/>
    <w:rsid w:val="008D38A3"/>
    <w:rsid w:val="008D4137"/>
    <w:rsid w:val="008D4146"/>
    <w:rsid w:val="008D42AD"/>
    <w:rsid w:val="008D42E7"/>
    <w:rsid w:val="008D4F39"/>
    <w:rsid w:val="008D663D"/>
    <w:rsid w:val="008D6DDA"/>
    <w:rsid w:val="008D6F02"/>
    <w:rsid w:val="008D71FC"/>
    <w:rsid w:val="008E0140"/>
    <w:rsid w:val="008E094B"/>
    <w:rsid w:val="008E0B4E"/>
    <w:rsid w:val="008E0C4E"/>
    <w:rsid w:val="008E1C90"/>
    <w:rsid w:val="008E2513"/>
    <w:rsid w:val="008E2529"/>
    <w:rsid w:val="008E2AEB"/>
    <w:rsid w:val="008E39F2"/>
    <w:rsid w:val="008E3B6E"/>
    <w:rsid w:val="008E3D79"/>
    <w:rsid w:val="008E3F7C"/>
    <w:rsid w:val="008E4493"/>
    <w:rsid w:val="008E4BC8"/>
    <w:rsid w:val="008E576E"/>
    <w:rsid w:val="008E592B"/>
    <w:rsid w:val="008E5E10"/>
    <w:rsid w:val="008E5F4D"/>
    <w:rsid w:val="008E6AEA"/>
    <w:rsid w:val="008E70D1"/>
    <w:rsid w:val="008E73FA"/>
    <w:rsid w:val="008E774D"/>
    <w:rsid w:val="008E79E5"/>
    <w:rsid w:val="008E7A37"/>
    <w:rsid w:val="008E7CD3"/>
    <w:rsid w:val="008E7F4C"/>
    <w:rsid w:val="008F0A39"/>
    <w:rsid w:val="008F0CE6"/>
    <w:rsid w:val="008F0DC9"/>
    <w:rsid w:val="008F12C8"/>
    <w:rsid w:val="008F1620"/>
    <w:rsid w:val="008F1D5D"/>
    <w:rsid w:val="008F2B16"/>
    <w:rsid w:val="008F30D1"/>
    <w:rsid w:val="008F35B1"/>
    <w:rsid w:val="008F3F35"/>
    <w:rsid w:val="008F447B"/>
    <w:rsid w:val="008F4A5E"/>
    <w:rsid w:val="008F4C69"/>
    <w:rsid w:val="008F4C75"/>
    <w:rsid w:val="008F5DBC"/>
    <w:rsid w:val="008F6CC8"/>
    <w:rsid w:val="008F6F04"/>
    <w:rsid w:val="008F6F39"/>
    <w:rsid w:val="008F757F"/>
    <w:rsid w:val="008F78A2"/>
    <w:rsid w:val="008F7BE8"/>
    <w:rsid w:val="008F7FF3"/>
    <w:rsid w:val="00900015"/>
    <w:rsid w:val="009004CC"/>
    <w:rsid w:val="00900A0C"/>
    <w:rsid w:val="00900BD8"/>
    <w:rsid w:val="00900E8E"/>
    <w:rsid w:val="00901308"/>
    <w:rsid w:val="009016CA"/>
    <w:rsid w:val="00901E96"/>
    <w:rsid w:val="00902A80"/>
    <w:rsid w:val="00902B45"/>
    <w:rsid w:val="009037F9"/>
    <w:rsid w:val="00903BCC"/>
    <w:rsid w:val="009043BF"/>
    <w:rsid w:val="009045B0"/>
    <w:rsid w:val="00904665"/>
    <w:rsid w:val="00904808"/>
    <w:rsid w:val="00904AD9"/>
    <w:rsid w:val="0090544E"/>
    <w:rsid w:val="009056D1"/>
    <w:rsid w:val="009059A1"/>
    <w:rsid w:val="00905CD9"/>
    <w:rsid w:val="00905DE0"/>
    <w:rsid w:val="0090615A"/>
    <w:rsid w:val="009065AC"/>
    <w:rsid w:val="009069D9"/>
    <w:rsid w:val="00907195"/>
    <w:rsid w:val="0090727C"/>
    <w:rsid w:val="00907826"/>
    <w:rsid w:val="00907973"/>
    <w:rsid w:val="009100EF"/>
    <w:rsid w:val="0091020F"/>
    <w:rsid w:val="009103B9"/>
    <w:rsid w:val="00910639"/>
    <w:rsid w:val="00910EA9"/>
    <w:rsid w:val="009114AD"/>
    <w:rsid w:val="0091165E"/>
    <w:rsid w:val="00911E34"/>
    <w:rsid w:val="0091241A"/>
    <w:rsid w:val="0091260C"/>
    <w:rsid w:val="0091320D"/>
    <w:rsid w:val="00913BA6"/>
    <w:rsid w:val="00913C33"/>
    <w:rsid w:val="0091456B"/>
    <w:rsid w:val="00914A79"/>
    <w:rsid w:val="00914CDC"/>
    <w:rsid w:val="00915080"/>
    <w:rsid w:val="00915135"/>
    <w:rsid w:val="00915167"/>
    <w:rsid w:val="0091564E"/>
    <w:rsid w:val="009159D4"/>
    <w:rsid w:val="00915BCE"/>
    <w:rsid w:val="00915CB8"/>
    <w:rsid w:val="009166EC"/>
    <w:rsid w:val="0091777A"/>
    <w:rsid w:val="00917C08"/>
    <w:rsid w:val="00921439"/>
    <w:rsid w:val="00921733"/>
    <w:rsid w:val="00921958"/>
    <w:rsid w:val="00921E4D"/>
    <w:rsid w:val="00922228"/>
    <w:rsid w:val="0092230B"/>
    <w:rsid w:val="0092235C"/>
    <w:rsid w:val="009233D8"/>
    <w:rsid w:val="0092368D"/>
    <w:rsid w:val="00923A92"/>
    <w:rsid w:val="00924492"/>
    <w:rsid w:val="0092488A"/>
    <w:rsid w:val="009250C6"/>
    <w:rsid w:val="00925234"/>
    <w:rsid w:val="00925241"/>
    <w:rsid w:val="0092529A"/>
    <w:rsid w:val="009255C4"/>
    <w:rsid w:val="00925AF0"/>
    <w:rsid w:val="0092661B"/>
    <w:rsid w:val="009266A0"/>
    <w:rsid w:val="00930093"/>
    <w:rsid w:val="00930BA4"/>
    <w:rsid w:val="0093153A"/>
    <w:rsid w:val="00931849"/>
    <w:rsid w:val="00931AAC"/>
    <w:rsid w:val="0093204A"/>
    <w:rsid w:val="009321B0"/>
    <w:rsid w:val="00932879"/>
    <w:rsid w:val="00932DC9"/>
    <w:rsid w:val="0093367F"/>
    <w:rsid w:val="0093388B"/>
    <w:rsid w:val="00934367"/>
    <w:rsid w:val="0093480C"/>
    <w:rsid w:val="00934F4E"/>
    <w:rsid w:val="00935BD6"/>
    <w:rsid w:val="00935EEC"/>
    <w:rsid w:val="00935FD1"/>
    <w:rsid w:val="00936237"/>
    <w:rsid w:val="00936720"/>
    <w:rsid w:val="0093693B"/>
    <w:rsid w:val="00936D27"/>
    <w:rsid w:val="009370CF"/>
    <w:rsid w:val="00937460"/>
    <w:rsid w:val="00937F85"/>
    <w:rsid w:val="00940B48"/>
    <w:rsid w:val="00940F93"/>
    <w:rsid w:val="00941137"/>
    <w:rsid w:val="009413B0"/>
    <w:rsid w:val="0094163D"/>
    <w:rsid w:val="009418A7"/>
    <w:rsid w:val="00941B81"/>
    <w:rsid w:val="0094261B"/>
    <w:rsid w:val="009429DE"/>
    <w:rsid w:val="00942A46"/>
    <w:rsid w:val="00944031"/>
    <w:rsid w:val="0094433C"/>
    <w:rsid w:val="00944683"/>
    <w:rsid w:val="00944996"/>
    <w:rsid w:val="00944C5B"/>
    <w:rsid w:val="00945FAC"/>
    <w:rsid w:val="00946EEB"/>
    <w:rsid w:val="009470AC"/>
    <w:rsid w:val="009474C2"/>
    <w:rsid w:val="00947B7E"/>
    <w:rsid w:val="0095065C"/>
    <w:rsid w:val="00950B46"/>
    <w:rsid w:val="00950FB5"/>
    <w:rsid w:val="009516C6"/>
    <w:rsid w:val="00951A52"/>
    <w:rsid w:val="00951F3D"/>
    <w:rsid w:val="00952215"/>
    <w:rsid w:val="0095232E"/>
    <w:rsid w:val="009524B8"/>
    <w:rsid w:val="00952DCF"/>
    <w:rsid w:val="009541A0"/>
    <w:rsid w:val="009549A9"/>
    <w:rsid w:val="00955421"/>
    <w:rsid w:val="0095572D"/>
    <w:rsid w:val="00955939"/>
    <w:rsid w:val="009562ED"/>
    <w:rsid w:val="009565D6"/>
    <w:rsid w:val="0095672A"/>
    <w:rsid w:val="00956A99"/>
    <w:rsid w:val="00956B24"/>
    <w:rsid w:val="009570C9"/>
    <w:rsid w:val="009579CD"/>
    <w:rsid w:val="00957E21"/>
    <w:rsid w:val="00957ED2"/>
    <w:rsid w:val="00960784"/>
    <w:rsid w:val="00961239"/>
    <w:rsid w:val="009621D2"/>
    <w:rsid w:val="0096312E"/>
    <w:rsid w:val="00963328"/>
    <w:rsid w:val="00963815"/>
    <w:rsid w:val="00964AA6"/>
    <w:rsid w:val="009654F6"/>
    <w:rsid w:val="00965CFB"/>
    <w:rsid w:val="00965DCC"/>
    <w:rsid w:val="009671D5"/>
    <w:rsid w:val="00967ED1"/>
    <w:rsid w:val="00970204"/>
    <w:rsid w:val="0097026B"/>
    <w:rsid w:val="0097096A"/>
    <w:rsid w:val="009712B1"/>
    <w:rsid w:val="009714E5"/>
    <w:rsid w:val="00971502"/>
    <w:rsid w:val="009717CF"/>
    <w:rsid w:val="00971DA2"/>
    <w:rsid w:val="00971DBA"/>
    <w:rsid w:val="00971E95"/>
    <w:rsid w:val="00972252"/>
    <w:rsid w:val="009722D7"/>
    <w:rsid w:val="0097317D"/>
    <w:rsid w:val="009732C1"/>
    <w:rsid w:val="009733B9"/>
    <w:rsid w:val="009733E3"/>
    <w:rsid w:val="00973A58"/>
    <w:rsid w:val="0097411B"/>
    <w:rsid w:val="0097430D"/>
    <w:rsid w:val="00974807"/>
    <w:rsid w:val="00975473"/>
    <w:rsid w:val="00975AA7"/>
    <w:rsid w:val="00975D42"/>
    <w:rsid w:val="00976976"/>
    <w:rsid w:val="00977D78"/>
    <w:rsid w:val="00980483"/>
    <w:rsid w:val="00980658"/>
    <w:rsid w:val="00980FE6"/>
    <w:rsid w:val="00981DCD"/>
    <w:rsid w:val="009826E7"/>
    <w:rsid w:val="009827DD"/>
    <w:rsid w:val="00982956"/>
    <w:rsid w:val="009831B7"/>
    <w:rsid w:val="00983D55"/>
    <w:rsid w:val="00984AF7"/>
    <w:rsid w:val="00984D7B"/>
    <w:rsid w:val="00985314"/>
    <w:rsid w:val="00985C49"/>
    <w:rsid w:val="00985C77"/>
    <w:rsid w:val="00985F6D"/>
    <w:rsid w:val="0098603C"/>
    <w:rsid w:val="009862FA"/>
    <w:rsid w:val="00990322"/>
    <w:rsid w:val="00990A8B"/>
    <w:rsid w:val="00990AA0"/>
    <w:rsid w:val="009918DA"/>
    <w:rsid w:val="00991A45"/>
    <w:rsid w:val="00992AB3"/>
    <w:rsid w:val="00992F51"/>
    <w:rsid w:val="00992F96"/>
    <w:rsid w:val="009931E1"/>
    <w:rsid w:val="009936C3"/>
    <w:rsid w:val="00993820"/>
    <w:rsid w:val="00993EE0"/>
    <w:rsid w:val="00993F9E"/>
    <w:rsid w:val="0099443F"/>
    <w:rsid w:val="00994B8A"/>
    <w:rsid w:val="00994C44"/>
    <w:rsid w:val="00994D14"/>
    <w:rsid w:val="009951D8"/>
    <w:rsid w:val="00995D2C"/>
    <w:rsid w:val="00996217"/>
    <w:rsid w:val="009965C8"/>
    <w:rsid w:val="00996647"/>
    <w:rsid w:val="00996D23"/>
    <w:rsid w:val="00996E6F"/>
    <w:rsid w:val="009970E1"/>
    <w:rsid w:val="00997A32"/>
    <w:rsid w:val="009A0EFD"/>
    <w:rsid w:val="009A1083"/>
    <w:rsid w:val="009A14B7"/>
    <w:rsid w:val="009A15FD"/>
    <w:rsid w:val="009A18F8"/>
    <w:rsid w:val="009A1CC8"/>
    <w:rsid w:val="009A1EEF"/>
    <w:rsid w:val="009A1EFC"/>
    <w:rsid w:val="009A1FB1"/>
    <w:rsid w:val="009A2131"/>
    <w:rsid w:val="009A2496"/>
    <w:rsid w:val="009A2788"/>
    <w:rsid w:val="009A281D"/>
    <w:rsid w:val="009A2997"/>
    <w:rsid w:val="009A2A2B"/>
    <w:rsid w:val="009A2EFE"/>
    <w:rsid w:val="009A2F08"/>
    <w:rsid w:val="009A30B4"/>
    <w:rsid w:val="009A35EC"/>
    <w:rsid w:val="009A3774"/>
    <w:rsid w:val="009A43DD"/>
    <w:rsid w:val="009A43EF"/>
    <w:rsid w:val="009A495C"/>
    <w:rsid w:val="009A5693"/>
    <w:rsid w:val="009A5C36"/>
    <w:rsid w:val="009A6135"/>
    <w:rsid w:val="009A767D"/>
    <w:rsid w:val="009A7EC2"/>
    <w:rsid w:val="009B0300"/>
    <w:rsid w:val="009B0E5C"/>
    <w:rsid w:val="009B101E"/>
    <w:rsid w:val="009B10D4"/>
    <w:rsid w:val="009B1405"/>
    <w:rsid w:val="009B17BB"/>
    <w:rsid w:val="009B1AA6"/>
    <w:rsid w:val="009B259C"/>
    <w:rsid w:val="009B2D34"/>
    <w:rsid w:val="009B2FE0"/>
    <w:rsid w:val="009B3614"/>
    <w:rsid w:val="009B3720"/>
    <w:rsid w:val="009B4149"/>
    <w:rsid w:val="009B4499"/>
    <w:rsid w:val="009B4692"/>
    <w:rsid w:val="009B46A7"/>
    <w:rsid w:val="009B4EF3"/>
    <w:rsid w:val="009B57F9"/>
    <w:rsid w:val="009B59BC"/>
    <w:rsid w:val="009B645B"/>
    <w:rsid w:val="009B6BF1"/>
    <w:rsid w:val="009B7A35"/>
    <w:rsid w:val="009B7A96"/>
    <w:rsid w:val="009C0A2A"/>
    <w:rsid w:val="009C0A9B"/>
    <w:rsid w:val="009C0ACF"/>
    <w:rsid w:val="009C0DA0"/>
    <w:rsid w:val="009C1415"/>
    <w:rsid w:val="009C17F7"/>
    <w:rsid w:val="009C1B59"/>
    <w:rsid w:val="009C21AB"/>
    <w:rsid w:val="009C33A3"/>
    <w:rsid w:val="009C3417"/>
    <w:rsid w:val="009C397F"/>
    <w:rsid w:val="009C3CD9"/>
    <w:rsid w:val="009C3D44"/>
    <w:rsid w:val="009C42BB"/>
    <w:rsid w:val="009C5451"/>
    <w:rsid w:val="009C62C3"/>
    <w:rsid w:val="009C633C"/>
    <w:rsid w:val="009C69D6"/>
    <w:rsid w:val="009C6EF2"/>
    <w:rsid w:val="009C72F1"/>
    <w:rsid w:val="009C744C"/>
    <w:rsid w:val="009C7C61"/>
    <w:rsid w:val="009C7D14"/>
    <w:rsid w:val="009D04FB"/>
    <w:rsid w:val="009D0698"/>
    <w:rsid w:val="009D0BA8"/>
    <w:rsid w:val="009D0D09"/>
    <w:rsid w:val="009D1B0D"/>
    <w:rsid w:val="009D1DE6"/>
    <w:rsid w:val="009D34F6"/>
    <w:rsid w:val="009D3691"/>
    <w:rsid w:val="009D3A32"/>
    <w:rsid w:val="009D3A93"/>
    <w:rsid w:val="009D3EC9"/>
    <w:rsid w:val="009D42E1"/>
    <w:rsid w:val="009D44BC"/>
    <w:rsid w:val="009D455D"/>
    <w:rsid w:val="009D4BEA"/>
    <w:rsid w:val="009D4F86"/>
    <w:rsid w:val="009D5E5E"/>
    <w:rsid w:val="009D640E"/>
    <w:rsid w:val="009D73AF"/>
    <w:rsid w:val="009D77C6"/>
    <w:rsid w:val="009D7FD7"/>
    <w:rsid w:val="009E0FEF"/>
    <w:rsid w:val="009E185B"/>
    <w:rsid w:val="009E2009"/>
    <w:rsid w:val="009E2288"/>
    <w:rsid w:val="009E3A19"/>
    <w:rsid w:val="009E452B"/>
    <w:rsid w:val="009E48F1"/>
    <w:rsid w:val="009E4D6C"/>
    <w:rsid w:val="009E51EE"/>
    <w:rsid w:val="009E54E8"/>
    <w:rsid w:val="009E57AE"/>
    <w:rsid w:val="009E5843"/>
    <w:rsid w:val="009E60E3"/>
    <w:rsid w:val="009E7305"/>
    <w:rsid w:val="009E7A20"/>
    <w:rsid w:val="009E7A8D"/>
    <w:rsid w:val="009E7ABF"/>
    <w:rsid w:val="009E7BC0"/>
    <w:rsid w:val="009F0333"/>
    <w:rsid w:val="009F0400"/>
    <w:rsid w:val="009F04BB"/>
    <w:rsid w:val="009F0918"/>
    <w:rsid w:val="009F097A"/>
    <w:rsid w:val="009F0ED5"/>
    <w:rsid w:val="009F18BD"/>
    <w:rsid w:val="009F2820"/>
    <w:rsid w:val="009F2F76"/>
    <w:rsid w:val="009F3157"/>
    <w:rsid w:val="009F32D2"/>
    <w:rsid w:val="009F3ED9"/>
    <w:rsid w:val="009F40E5"/>
    <w:rsid w:val="009F4412"/>
    <w:rsid w:val="009F48C6"/>
    <w:rsid w:val="009F4A1E"/>
    <w:rsid w:val="009F4F86"/>
    <w:rsid w:val="009F5253"/>
    <w:rsid w:val="009F558F"/>
    <w:rsid w:val="009F55E9"/>
    <w:rsid w:val="009F5836"/>
    <w:rsid w:val="009F5FED"/>
    <w:rsid w:val="009F6E27"/>
    <w:rsid w:val="009F7DCF"/>
    <w:rsid w:val="00A004B6"/>
    <w:rsid w:val="00A00665"/>
    <w:rsid w:val="00A00C7E"/>
    <w:rsid w:val="00A011C9"/>
    <w:rsid w:val="00A01D6F"/>
    <w:rsid w:val="00A01E25"/>
    <w:rsid w:val="00A02954"/>
    <w:rsid w:val="00A02FA0"/>
    <w:rsid w:val="00A032D4"/>
    <w:rsid w:val="00A04585"/>
    <w:rsid w:val="00A051E8"/>
    <w:rsid w:val="00A05313"/>
    <w:rsid w:val="00A05A4F"/>
    <w:rsid w:val="00A05B07"/>
    <w:rsid w:val="00A05E55"/>
    <w:rsid w:val="00A06F47"/>
    <w:rsid w:val="00A074F9"/>
    <w:rsid w:val="00A07609"/>
    <w:rsid w:val="00A07AA0"/>
    <w:rsid w:val="00A07D0B"/>
    <w:rsid w:val="00A07FA8"/>
    <w:rsid w:val="00A10193"/>
    <w:rsid w:val="00A102EB"/>
    <w:rsid w:val="00A1059F"/>
    <w:rsid w:val="00A10ABD"/>
    <w:rsid w:val="00A10D98"/>
    <w:rsid w:val="00A112E2"/>
    <w:rsid w:val="00A11336"/>
    <w:rsid w:val="00A11485"/>
    <w:rsid w:val="00A11DEB"/>
    <w:rsid w:val="00A12240"/>
    <w:rsid w:val="00A123AB"/>
    <w:rsid w:val="00A12864"/>
    <w:rsid w:val="00A128B4"/>
    <w:rsid w:val="00A12ECD"/>
    <w:rsid w:val="00A132C8"/>
    <w:rsid w:val="00A132D7"/>
    <w:rsid w:val="00A13840"/>
    <w:rsid w:val="00A13E8C"/>
    <w:rsid w:val="00A13EA6"/>
    <w:rsid w:val="00A1407D"/>
    <w:rsid w:val="00A14112"/>
    <w:rsid w:val="00A14118"/>
    <w:rsid w:val="00A14183"/>
    <w:rsid w:val="00A1431F"/>
    <w:rsid w:val="00A14496"/>
    <w:rsid w:val="00A14F3F"/>
    <w:rsid w:val="00A155F0"/>
    <w:rsid w:val="00A15C67"/>
    <w:rsid w:val="00A1727C"/>
    <w:rsid w:val="00A17925"/>
    <w:rsid w:val="00A17E82"/>
    <w:rsid w:val="00A17F27"/>
    <w:rsid w:val="00A20632"/>
    <w:rsid w:val="00A20641"/>
    <w:rsid w:val="00A206CA"/>
    <w:rsid w:val="00A2114C"/>
    <w:rsid w:val="00A21581"/>
    <w:rsid w:val="00A21785"/>
    <w:rsid w:val="00A21B08"/>
    <w:rsid w:val="00A224D1"/>
    <w:rsid w:val="00A228FE"/>
    <w:rsid w:val="00A22F72"/>
    <w:rsid w:val="00A22FCE"/>
    <w:rsid w:val="00A233DE"/>
    <w:rsid w:val="00A234B1"/>
    <w:rsid w:val="00A238DC"/>
    <w:rsid w:val="00A23AC7"/>
    <w:rsid w:val="00A241D5"/>
    <w:rsid w:val="00A24365"/>
    <w:rsid w:val="00A24D24"/>
    <w:rsid w:val="00A25125"/>
    <w:rsid w:val="00A25348"/>
    <w:rsid w:val="00A257A4"/>
    <w:rsid w:val="00A2587D"/>
    <w:rsid w:val="00A25DC2"/>
    <w:rsid w:val="00A25F36"/>
    <w:rsid w:val="00A25F6D"/>
    <w:rsid w:val="00A26742"/>
    <w:rsid w:val="00A271DA"/>
    <w:rsid w:val="00A2752C"/>
    <w:rsid w:val="00A27D75"/>
    <w:rsid w:val="00A27DAB"/>
    <w:rsid w:val="00A27F5A"/>
    <w:rsid w:val="00A3006D"/>
    <w:rsid w:val="00A301B7"/>
    <w:rsid w:val="00A303C3"/>
    <w:rsid w:val="00A30B65"/>
    <w:rsid w:val="00A30C1C"/>
    <w:rsid w:val="00A30F29"/>
    <w:rsid w:val="00A310DA"/>
    <w:rsid w:val="00A31699"/>
    <w:rsid w:val="00A3278E"/>
    <w:rsid w:val="00A32C54"/>
    <w:rsid w:val="00A339B7"/>
    <w:rsid w:val="00A341D2"/>
    <w:rsid w:val="00A34672"/>
    <w:rsid w:val="00A34846"/>
    <w:rsid w:val="00A35EE0"/>
    <w:rsid w:val="00A36CBE"/>
    <w:rsid w:val="00A36F9C"/>
    <w:rsid w:val="00A37FE4"/>
    <w:rsid w:val="00A402BE"/>
    <w:rsid w:val="00A40434"/>
    <w:rsid w:val="00A41554"/>
    <w:rsid w:val="00A418F5"/>
    <w:rsid w:val="00A418F8"/>
    <w:rsid w:val="00A424C1"/>
    <w:rsid w:val="00A42FC0"/>
    <w:rsid w:val="00A437A6"/>
    <w:rsid w:val="00A437E7"/>
    <w:rsid w:val="00A44272"/>
    <w:rsid w:val="00A44789"/>
    <w:rsid w:val="00A45045"/>
    <w:rsid w:val="00A45639"/>
    <w:rsid w:val="00A458D6"/>
    <w:rsid w:val="00A45CC5"/>
    <w:rsid w:val="00A45F1B"/>
    <w:rsid w:val="00A47695"/>
    <w:rsid w:val="00A47F30"/>
    <w:rsid w:val="00A50035"/>
    <w:rsid w:val="00A50201"/>
    <w:rsid w:val="00A51475"/>
    <w:rsid w:val="00A519A2"/>
    <w:rsid w:val="00A51F0A"/>
    <w:rsid w:val="00A523D6"/>
    <w:rsid w:val="00A5326E"/>
    <w:rsid w:val="00A535F6"/>
    <w:rsid w:val="00A53619"/>
    <w:rsid w:val="00A537E5"/>
    <w:rsid w:val="00A537FE"/>
    <w:rsid w:val="00A53FDA"/>
    <w:rsid w:val="00A5456E"/>
    <w:rsid w:val="00A5555D"/>
    <w:rsid w:val="00A55892"/>
    <w:rsid w:val="00A55C90"/>
    <w:rsid w:val="00A56074"/>
    <w:rsid w:val="00A562C5"/>
    <w:rsid w:val="00A56920"/>
    <w:rsid w:val="00A56E56"/>
    <w:rsid w:val="00A577E9"/>
    <w:rsid w:val="00A57819"/>
    <w:rsid w:val="00A60F24"/>
    <w:rsid w:val="00A61489"/>
    <w:rsid w:val="00A61923"/>
    <w:rsid w:val="00A6256C"/>
    <w:rsid w:val="00A630BA"/>
    <w:rsid w:val="00A6419A"/>
    <w:rsid w:val="00A64204"/>
    <w:rsid w:val="00A64C49"/>
    <w:rsid w:val="00A64D9B"/>
    <w:rsid w:val="00A65B1C"/>
    <w:rsid w:val="00A65FC1"/>
    <w:rsid w:val="00A66AEA"/>
    <w:rsid w:val="00A674B0"/>
    <w:rsid w:val="00A67663"/>
    <w:rsid w:val="00A67A1B"/>
    <w:rsid w:val="00A67AF5"/>
    <w:rsid w:val="00A67C61"/>
    <w:rsid w:val="00A67F5B"/>
    <w:rsid w:val="00A7059F"/>
    <w:rsid w:val="00A70AF5"/>
    <w:rsid w:val="00A70CBD"/>
    <w:rsid w:val="00A71568"/>
    <w:rsid w:val="00A71C3C"/>
    <w:rsid w:val="00A71C8B"/>
    <w:rsid w:val="00A71CC7"/>
    <w:rsid w:val="00A7257E"/>
    <w:rsid w:val="00A725BF"/>
    <w:rsid w:val="00A72D18"/>
    <w:rsid w:val="00A732CF"/>
    <w:rsid w:val="00A734FE"/>
    <w:rsid w:val="00A736D9"/>
    <w:rsid w:val="00A73DD2"/>
    <w:rsid w:val="00A740A5"/>
    <w:rsid w:val="00A74900"/>
    <w:rsid w:val="00A764A7"/>
    <w:rsid w:val="00A76AA2"/>
    <w:rsid w:val="00A7718C"/>
    <w:rsid w:val="00A778A0"/>
    <w:rsid w:val="00A80260"/>
    <w:rsid w:val="00A8075F"/>
    <w:rsid w:val="00A809F2"/>
    <w:rsid w:val="00A80B7C"/>
    <w:rsid w:val="00A81463"/>
    <w:rsid w:val="00A8297C"/>
    <w:rsid w:val="00A82E38"/>
    <w:rsid w:val="00A830F6"/>
    <w:rsid w:val="00A83738"/>
    <w:rsid w:val="00A846CF"/>
    <w:rsid w:val="00A854A6"/>
    <w:rsid w:val="00A856B6"/>
    <w:rsid w:val="00A85DE1"/>
    <w:rsid w:val="00A85E34"/>
    <w:rsid w:val="00A85F0B"/>
    <w:rsid w:val="00A862A4"/>
    <w:rsid w:val="00A86A45"/>
    <w:rsid w:val="00A87833"/>
    <w:rsid w:val="00A907EC"/>
    <w:rsid w:val="00A90986"/>
    <w:rsid w:val="00A90EFC"/>
    <w:rsid w:val="00A91106"/>
    <w:rsid w:val="00A91601"/>
    <w:rsid w:val="00A91CAB"/>
    <w:rsid w:val="00A9404C"/>
    <w:rsid w:val="00A94DDE"/>
    <w:rsid w:val="00A95AE9"/>
    <w:rsid w:val="00A95C4B"/>
    <w:rsid w:val="00A95FDD"/>
    <w:rsid w:val="00A9652F"/>
    <w:rsid w:val="00A978F2"/>
    <w:rsid w:val="00A97B35"/>
    <w:rsid w:val="00AA018E"/>
    <w:rsid w:val="00AA04DF"/>
    <w:rsid w:val="00AA17B4"/>
    <w:rsid w:val="00AA17EE"/>
    <w:rsid w:val="00AA1ECC"/>
    <w:rsid w:val="00AA28FB"/>
    <w:rsid w:val="00AA388F"/>
    <w:rsid w:val="00AA3B48"/>
    <w:rsid w:val="00AA3C42"/>
    <w:rsid w:val="00AA3C69"/>
    <w:rsid w:val="00AA3F4F"/>
    <w:rsid w:val="00AA460A"/>
    <w:rsid w:val="00AA469D"/>
    <w:rsid w:val="00AA4EE1"/>
    <w:rsid w:val="00AA56C7"/>
    <w:rsid w:val="00AA57AD"/>
    <w:rsid w:val="00AA5974"/>
    <w:rsid w:val="00AA6524"/>
    <w:rsid w:val="00AA7342"/>
    <w:rsid w:val="00AB0476"/>
    <w:rsid w:val="00AB08AF"/>
    <w:rsid w:val="00AB191B"/>
    <w:rsid w:val="00AB19B0"/>
    <w:rsid w:val="00AB1F5D"/>
    <w:rsid w:val="00AB24CA"/>
    <w:rsid w:val="00AB26AE"/>
    <w:rsid w:val="00AB2DD1"/>
    <w:rsid w:val="00AB2ED2"/>
    <w:rsid w:val="00AB3187"/>
    <w:rsid w:val="00AB3D46"/>
    <w:rsid w:val="00AB45DD"/>
    <w:rsid w:val="00AB5006"/>
    <w:rsid w:val="00AB51E3"/>
    <w:rsid w:val="00AB52C8"/>
    <w:rsid w:val="00AB5D09"/>
    <w:rsid w:val="00AB5F44"/>
    <w:rsid w:val="00AB615D"/>
    <w:rsid w:val="00AB625C"/>
    <w:rsid w:val="00AB63AB"/>
    <w:rsid w:val="00AB7011"/>
    <w:rsid w:val="00AB7364"/>
    <w:rsid w:val="00AB75C8"/>
    <w:rsid w:val="00AB76AF"/>
    <w:rsid w:val="00AB79BE"/>
    <w:rsid w:val="00AC05A2"/>
    <w:rsid w:val="00AC0D39"/>
    <w:rsid w:val="00AC1096"/>
    <w:rsid w:val="00AC1E75"/>
    <w:rsid w:val="00AC366A"/>
    <w:rsid w:val="00AC36B7"/>
    <w:rsid w:val="00AC38E1"/>
    <w:rsid w:val="00AC3A17"/>
    <w:rsid w:val="00AC3A75"/>
    <w:rsid w:val="00AC3B1E"/>
    <w:rsid w:val="00AC48BA"/>
    <w:rsid w:val="00AC4A2D"/>
    <w:rsid w:val="00AC4EBE"/>
    <w:rsid w:val="00AC559D"/>
    <w:rsid w:val="00AC5828"/>
    <w:rsid w:val="00AC6583"/>
    <w:rsid w:val="00AC6903"/>
    <w:rsid w:val="00AC6FA6"/>
    <w:rsid w:val="00AD03C3"/>
    <w:rsid w:val="00AD152E"/>
    <w:rsid w:val="00AD1664"/>
    <w:rsid w:val="00AD1771"/>
    <w:rsid w:val="00AD1F15"/>
    <w:rsid w:val="00AD220F"/>
    <w:rsid w:val="00AD29DF"/>
    <w:rsid w:val="00AD3229"/>
    <w:rsid w:val="00AD35B0"/>
    <w:rsid w:val="00AD36F5"/>
    <w:rsid w:val="00AD3A1F"/>
    <w:rsid w:val="00AD3AA3"/>
    <w:rsid w:val="00AD3AD6"/>
    <w:rsid w:val="00AD3FE1"/>
    <w:rsid w:val="00AD42ED"/>
    <w:rsid w:val="00AD45F6"/>
    <w:rsid w:val="00AD4AE3"/>
    <w:rsid w:val="00AD4EF5"/>
    <w:rsid w:val="00AD79D8"/>
    <w:rsid w:val="00AE03C7"/>
    <w:rsid w:val="00AE07A5"/>
    <w:rsid w:val="00AE0CD8"/>
    <w:rsid w:val="00AE274E"/>
    <w:rsid w:val="00AE2856"/>
    <w:rsid w:val="00AE2CAF"/>
    <w:rsid w:val="00AE3383"/>
    <w:rsid w:val="00AE33DC"/>
    <w:rsid w:val="00AE3476"/>
    <w:rsid w:val="00AE3CED"/>
    <w:rsid w:val="00AE410C"/>
    <w:rsid w:val="00AE436B"/>
    <w:rsid w:val="00AE43C9"/>
    <w:rsid w:val="00AE45E5"/>
    <w:rsid w:val="00AE50B6"/>
    <w:rsid w:val="00AE5591"/>
    <w:rsid w:val="00AE55E0"/>
    <w:rsid w:val="00AE56D0"/>
    <w:rsid w:val="00AE5809"/>
    <w:rsid w:val="00AE6109"/>
    <w:rsid w:val="00AE6593"/>
    <w:rsid w:val="00AF0764"/>
    <w:rsid w:val="00AF08A2"/>
    <w:rsid w:val="00AF163B"/>
    <w:rsid w:val="00AF1D18"/>
    <w:rsid w:val="00AF1E86"/>
    <w:rsid w:val="00AF1EBF"/>
    <w:rsid w:val="00AF2EB9"/>
    <w:rsid w:val="00AF3420"/>
    <w:rsid w:val="00AF3A99"/>
    <w:rsid w:val="00AF3B71"/>
    <w:rsid w:val="00AF413A"/>
    <w:rsid w:val="00AF45E4"/>
    <w:rsid w:val="00AF4C02"/>
    <w:rsid w:val="00AF50CB"/>
    <w:rsid w:val="00AF5449"/>
    <w:rsid w:val="00AF5544"/>
    <w:rsid w:val="00AF5B42"/>
    <w:rsid w:val="00AF68EB"/>
    <w:rsid w:val="00AF6A7B"/>
    <w:rsid w:val="00AF6E86"/>
    <w:rsid w:val="00AF6FC5"/>
    <w:rsid w:val="00AF770E"/>
    <w:rsid w:val="00AF77A0"/>
    <w:rsid w:val="00B001B7"/>
    <w:rsid w:val="00B00A55"/>
    <w:rsid w:val="00B00AC0"/>
    <w:rsid w:val="00B00C66"/>
    <w:rsid w:val="00B00E7F"/>
    <w:rsid w:val="00B014BF"/>
    <w:rsid w:val="00B0183D"/>
    <w:rsid w:val="00B01B75"/>
    <w:rsid w:val="00B02560"/>
    <w:rsid w:val="00B028D1"/>
    <w:rsid w:val="00B02B4A"/>
    <w:rsid w:val="00B0354A"/>
    <w:rsid w:val="00B03873"/>
    <w:rsid w:val="00B03BA8"/>
    <w:rsid w:val="00B03C82"/>
    <w:rsid w:val="00B03DCE"/>
    <w:rsid w:val="00B04365"/>
    <w:rsid w:val="00B046E6"/>
    <w:rsid w:val="00B04A3F"/>
    <w:rsid w:val="00B05293"/>
    <w:rsid w:val="00B052EC"/>
    <w:rsid w:val="00B0577C"/>
    <w:rsid w:val="00B05A62"/>
    <w:rsid w:val="00B06727"/>
    <w:rsid w:val="00B06773"/>
    <w:rsid w:val="00B067B3"/>
    <w:rsid w:val="00B06885"/>
    <w:rsid w:val="00B07C14"/>
    <w:rsid w:val="00B07F20"/>
    <w:rsid w:val="00B100BB"/>
    <w:rsid w:val="00B108C6"/>
    <w:rsid w:val="00B10F6E"/>
    <w:rsid w:val="00B11D5C"/>
    <w:rsid w:val="00B11DFA"/>
    <w:rsid w:val="00B12522"/>
    <w:rsid w:val="00B12B45"/>
    <w:rsid w:val="00B12BB9"/>
    <w:rsid w:val="00B131C2"/>
    <w:rsid w:val="00B13795"/>
    <w:rsid w:val="00B1386F"/>
    <w:rsid w:val="00B13E1C"/>
    <w:rsid w:val="00B14027"/>
    <w:rsid w:val="00B14982"/>
    <w:rsid w:val="00B14D03"/>
    <w:rsid w:val="00B14E35"/>
    <w:rsid w:val="00B15199"/>
    <w:rsid w:val="00B166DE"/>
    <w:rsid w:val="00B16E0B"/>
    <w:rsid w:val="00B17E01"/>
    <w:rsid w:val="00B17E0E"/>
    <w:rsid w:val="00B204C4"/>
    <w:rsid w:val="00B205C1"/>
    <w:rsid w:val="00B2064B"/>
    <w:rsid w:val="00B20B83"/>
    <w:rsid w:val="00B21386"/>
    <w:rsid w:val="00B21586"/>
    <w:rsid w:val="00B235E6"/>
    <w:rsid w:val="00B23601"/>
    <w:rsid w:val="00B23B4A"/>
    <w:rsid w:val="00B23CB3"/>
    <w:rsid w:val="00B241F1"/>
    <w:rsid w:val="00B24371"/>
    <w:rsid w:val="00B24755"/>
    <w:rsid w:val="00B24EC6"/>
    <w:rsid w:val="00B25507"/>
    <w:rsid w:val="00B25FC2"/>
    <w:rsid w:val="00B260FB"/>
    <w:rsid w:val="00B261B3"/>
    <w:rsid w:val="00B26836"/>
    <w:rsid w:val="00B26A0E"/>
    <w:rsid w:val="00B27CA5"/>
    <w:rsid w:val="00B304B7"/>
    <w:rsid w:val="00B30E57"/>
    <w:rsid w:val="00B30F0E"/>
    <w:rsid w:val="00B30FCE"/>
    <w:rsid w:val="00B313EC"/>
    <w:rsid w:val="00B32063"/>
    <w:rsid w:val="00B32672"/>
    <w:rsid w:val="00B33161"/>
    <w:rsid w:val="00B33657"/>
    <w:rsid w:val="00B33DCE"/>
    <w:rsid w:val="00B342A6"/>
    <w:rsid w:val="00B34B8A"/>
    <w:rsid w:val="00B35362"/>
    <w:rsid w:val="00B35A3B"/>
    <w:rsid w:val="00B3627D"/>
    <w:rsid w:val="00B3635D"/>
    <w:rsid w:val="00B369A4"/>
    <w:rsid w:val="00B36A7E"/>
    <w:rsid w:val="00B36E98"/>
    <w:rsid w:val="00B37839"/>
    <w:rsid w:val="00B37EE4"/>
    <w:rsid w:val="00B405A3"/>
    <w:rsid w:val="00B406B6"/>
    <w:rsid w:val="00B406DD"/>
    <w:rsid w:val="00B408B4"/>
    <w:rsid w:val="00B41099"/>
    <w:rsid w:val="00B43738"/>
    <w:rsid w:val="00B438F9"/>
    <w:rsid w:val="00B43A80"/>
    <w:rsid w:val="00B43B93"/>
    <w:rsid w:val="00B44986"/>
    <w:rsid w:val="00B44E75"/>
    <w:rsid w:val="00B451F5"/>
    <w:rsid w:val="00B452EA"/>
    <w:rsid w:val="00B45965"/>
    <w:rsid w:val="00B45BB4"/>
    <w:rsid w:val="00B46918"/>
    <w:rsid w:val="00B472E9"/>
    <w:rsid w:val="00B476C7"/>
    <w:rsid w:val="00B47902"/>
    <w:rsid w:val="00B47BD2"/>
    <w:rsid w:val="00B47E8E"/>
    <w:rsid w:val="00B501A2"/>
    <w:rsid w:val="00B50649"/>
    <w:rsid w:val="00B506DD"/>
    <w:rsid w:val="00B50CE5"/>
    <w:rsid w:val="00B50D8D"/>
    <w:rsid w:val="00B50EA1"/>
    <w:rsid w:val="00B51417"/>
    <w:rsid w:val="00B521E7"/>
    <w:rsid w:val="00B52268"/>
    <w:rsid w:val="00B5265C"/>
    <w:rsid w:val="00B526BF"/>
    <w:rsid w:val="00B5445A"/>
    <w:rsid w:val="00B5446C"/>
    <w:rsid w:val="00B54689"/>
    <w:rsid w:val="00B54904"/>
    <w:rsid w:val="00B55F5D"/>
    <w:rsid w:val="00B571D8"/>
    <w:rsid w:val="00B60B35"/>
    <w:rsid w:val="00B61126"/>
    <w:rsid w:val="00B612AF"/>
    <w:rsid w:val="00B613CB"/>
    <w:rsid w:val="00B622C4"/>
    <w:rsid w:val="00B62361"/>
    <w:rsid w:val="00B634EA"/>
    <w:rsid w:val="00B659D5"/>
    <w:rsid w:val="00B65FA5"/>
    <w:rsid w:val="00B664EB"/>
    <w:rsid w:val="00B664F8"/>
    <w:rsid w:val="00B665EF"/>
    <w:rsid w:val="00B667DA"/>
    <w:rsid w:val="00B66AB6"/>
    <w:rsid w:val="00B66F76"/>
    <w:rsid w:val="00B67582"/>
    <w:rsid w:val="00B6771F"/>
    <w:rsid w:val="00B6798D"/>
    <w:rsid w:val="00B67B50"/>
    <w:rsid w:val="00B707AF"/>
    <w:rsid w:val="00B70DE1"/>
    <w:rsid w:val="00B720D3"/>
    <w:rsid w:val="00B72795"/>
    <w:rsid w:val="00B727D0"/>
    <w:rsid w:val="00B72E8C"/>
    <w:rsid w:val="00B73434"/>
    <w:rsid w:val="00B7385D"/>
    <w:rsid w:val="00B73AFD"/>
    <w:rsid w:val="00B73BCC"/>
    <w:rsid w:val="00B7434D"/>
    <w:rsid w:val="00B744D7"/>
    <w:rsid w:val="00B745ED"/>
    <w:rsid w:val="00B74BD5"/>
    <w:rsid w:val="00B74CEC"/>
    <w:rsid w:val="00B74DE9"/>
    <w:rsid w:val="00B74F99"/>
    <w:rsid w:val="00B754B1"/>
    <w:rsid w:val="00B76480"/>
    <w:rsid w:val="00B76537"/>
    <w:rsid w:val="00B76842"/>
    <w:rsid w:val="00B76E60"/>
    <w:rsid w:val="00B7770A"/>
    <w:rsid w:val="00B77832"/>
    <w:rsid w:val="00B77FED"/>
    <w:rsid w:val="00B8050E"/>
    <w:rsid w:val="00B80638"/>
    <w:rsid w:val="00B80A36"/>
    <w:rsid w:val="00B80ED5"/>
    <w:rsid w:val="00B829C2"/>
    <w:rsid w:val="00B830C9"/>
    <w:rsid w:val="00B83204"/>
    <w:rsid w:val="00B8321B"/>
    <w:rsid w:val="00B83269"/>
    <w:rsid w:val="00B8419C"/>
    <w:rsid w:val="00B84A44"/>
    <w:rsid w:val="00B85816"/>
    <w:rsid w:val="00B85951"/>
    <w:rsid w:val="00B85DBA"/>
    <w:rsid w:val="00B8695B"/>
    <w:rsid w:val="00B86B94"/>
    <w:rsid w:val="00B86DCA"/>
    <w:rsid w:val="00B8782B"/>
    <w:rsid w:val="00B9025F"/>
    <w:rsid w:val="00B905A9"/>
    <w:rsid w:val="00B91314"/>
    <w:rsid w:val="00B91723"/>
    <w:rsid w:val="00B919AC"/>
    <w:rsid w:val="00B91AF0"/>
    <w:rsid w:val="00B91EA9"/>
    <w:rsid w:val="00B92405"/>
    <w:rsid w:val="00B92BBF"/>
    <w:rsid w:val="00B92BEF"/>
    <w:rsid w:val="00B9333A"/>
    <w:rsid w:val="00B933C3"/>
    <w:rsid w:val="00B93A26"/>
    <w:rsid w:val="00B941B5"/>
    <w:rsid w:val="00B94AC8"/>
    <w:rsid w:val="00B95701"/>
    <w:rsid w:val="00B95873"/>
    <w:rsid w:val="00B95E20"/>
    <w:rsid w:val="00B960C1"/>
    <w:rsid w:val="00B969A8"/>
    <w:rsid w:val="00B97913"/>
    <w:rsid w:val="00B97F3B"/>
    <w:rsid w:val="00BA0094"/>
    <w:rsid w:val="00BA02D8"/>
    <w:rsid w:val="00BA040F"/>
    <w:rsid w:val="00BA061B"/>
    <w:rsid w:val="00BA0CD2"/>
    <w:rsid w:val="00BA0E7F"/>
    <w:rsid w:val="00BA114B"/>
    <w:rsid w:val="00BA137C"/>
    <w:rsid w:val="00BA19B7"/>
    <w:rsid w:val="00BA1F88"/>
    <w:rsid w:val="00BA2A21"/>
    <w:rsid w:val="00BA2AC3"/>
    <w:rsid w:val="00BA2BCD"/>
    <w:rsid w:val="00BA2C94"/>
    <w:rsid w:val="00BA2C97"/>
    <w:rsid w:val="00BA2EFD"/>
    <w:rsid w:val="00BA3100"/>
    <w:rsid w:val="00BA3121"/>
    <w:rsid w:val="00BA3413"/>
    <w:rsid w:val="00BA3B01"/>
    <w:rsid w:val="00BA3C65"/>
    <w:rsid w:val="00BA3CDB"/>
    <w:rsid w:val="00BA3FA7"/>
    <w:rsid w:val="00BA4630"/>
    <w:rsid w:val="00BA47EF"/>
    <w:rsid w:val="00BA4915"/>
    <w:rsid w:val="00BA4B76"/>
    <w:rsid w:val="00BA5B1B"/>
    <w:rsid w:val="00BA65FC"/>
    <w:rsid w:val="00BA6C8A"/>
    <w:rsid w:val="00BA757F"/>
    <w:rsid w:val="00BA75D1"/>
    <w:rsid w:val="00BB01B9"/>
    <w:rsid w:val="00BB052E"/>
    <w:rsid w:val="00BB062C"/>
    <w:rsid w:val="00BB0B99"/>
    <w:rsid w:val="00BB0C3D"/>
    <w:rsid w:val="00BB194C"/>
    <w:rsid w:val="00BB20EF"/>
    <w:rsid w:val="00BB23B3"/>
    <w:rsid w:val="00BB2930"/>
    <w:rsid w:val="00BB29F8"/>
    <w:rsid w:val="00BB2B60"/>
    <w:rsid w:val="00BB3677"/>
    <w:rsid w:val="00BB3FFC"/>
    <w:rsid w:val="00BB4144"/>
    <w:rsid w:val="00BB43EF"/>
    <w:rsid w:val="00BB5A0C"/>
    <w:rsid w:val="00BB5ACB"/>
    <w:rsid w:val="00BB5DE6"/>
    <w:rsid w:val="00BB6927"/>
    <w:rsid w:val="00BB70A8"/>
    <w:rsid w:val="00BB7E0A"/>
    <w:rsid w:val="00BC1271"/>
    <w:rsid w:val="00BC2140"/>
    <w:rsid w:val="00BC215E"/>
    <w:rsid w:val="00BC28DF"/>
    <w:rsid w:val="00BC2CF0"/>
    <w:rsid w:val="00BC2D02"/>
    <w:rsid w:val="00BC36B1"/>
    <w:rsid w:val="00BC37DF"/>
    <w:rsid w:val="00BC3829"/>
    <w:rsid w:val="00BC3979"/>
    <w:rsid w:val="00BC46DE"/>
    <w:rsid w:val="00BC4849"/>
    <w:rsid w:val="00BC497F"/>
    <w:rsid w:val="00BC5D6D"/>
    <w:rsid w:val="00BC6336"/>
    <w:rsid w:val="00BC6F6B"/>
    <w:rsid w:val="00BC7765"/>
    <w:rsid w:val="00BC7C6E"/>
    <w:rsid w:val="00BD0306"/>
    <w:rsid w:val="00BD0327"/>
    <w:rsid w:val="00BD05AC"/>
    <w:rsid w:val="00BD0AD3"/>
    <w:rsid w:val="00BD1282"/>
    <w:rsid w:val="00BD15FF"/>
    <w:rsid w:val="00BD16F8"/>
    <w:rsid w:val="00BD182F"/>
    <w:rsid w:val="00BD1BD9"/>
    <w:rsid w:val="00BD1F64"/>
    <w:rsid w:val="00BD1F6A"/>
    <w:rsid w:val="00BD213B"/>
    <w:rsid w:val="00BD23B9"/>
    <w:rsid w:val="00BD2750"/>
    <w:rsid w:val="00BD27A0"/>
    <w:rsid w:val="00BD310A"/>
    <w:rsid w:val="00BD321D"/>
    <w:rsid w:val="00BD36D2"/>
    <w:rsid w:val="00BD3E0E"/>
    <w:rsid w:val="00BD46D7"/>
    <w:rsid w:val="00BD4AA4"/>
    <w:rsid w:val="00BD56CD"/>
    <w:rsid w:val="00BD5AFD"/>
    <w:rsid w:val="00BD6295"/>
    <w:rsid w:val="00BD6412"/>
    <w:rsid w:val="00BD6639"/>
    <w:rsid w:val="00BD697E"/>
    <w:rsid w:val="00BD6DC1"/>
    <w:rsid w:val="00BD7B87"/>
    <w:rsid w:val="00BD7F20"/>
    <w:rsid w:val="00BE1234"/>
    <w:rsid w:val="00BE1575"/>
    <w:rsid w:val="00BE17B9"/>
    <w:rsid w:val="00BE2505"/>
    <w:rsid w:val="00BE2621"/>
    <w:rsid w:val="00BE301B"/>
    <w:rsid w:val="00BE3327"/>
    <w:rsid w:val="00BE3330"/>
    <w:rsid w:val="00BE39C4"/>
    <w:rsid w:val="00BE3AE9"/>
    <w:rsid w:val="00BE489D"/>
    <w:rsid w:val="00BE4A9B"/>
    <w:rsid w:val="00BE520B"/>
    <w:rsid w:val="00BE5B86"/>
    <w:rsid w:val="00BE5FDB"/>
    <w:rsid w:val="00BE628A"/>
    <w:rsid w:val="00BE645D"/>
    <w:rsid w:val="00BE67F4"/>
    <w:rsid w:val="00BE68E9"/>
    <w:rsid w:val="00BE73B2"/>
    <w:rsid w:val="00BE7422"/>
    <w:rsid w:val="00BE7E2E"/>
    <w:rsid w:val="00BF0294"/>
    <w:rsid w:val="00BF0DDF"/>
    <w:rsid w:val="00BF0EF1"/>
    <w:rsid w:val="00BF1109"/>
    <w:rsid w:val="00BF125A"/>
    <w:rsid w:val="00BF269E"/>
    <w:rsid w:val="00BF2DEB"/>
    <w:rsid w:val="00BF328C"/>
    <w:rsid w:val="00BF3297"/>
    <w:rsid w:val="00BF32F8"/>
    <w:rsid w:val="00BF38A0"/>
    <w:rsid w:val="00BF3B0E"/>
    <w:rsid w:val="00BF3CEB"/>
    <w:rsid w:val="00BF431F"/>
    <w:rsid w:val="00BF4916"/>
    <w:rsid w:val="00BF4C3B"/>
    <w:rsid w:val="00BF4E88"/>
    <w:rsid w:val="00BF4E8D"/>
    <w:rsid w:val="00BF51A5"/>
    <w:rsid w:val="00BF5767"/>
    <w:rsid w:val="00BF6033"/>
    <w:rsid w:val="00BF6474"/>
    <w:rsid w:val="00BF7301"/>
    <w:rsid w:val="00BF7838"/>
    <w:rsid w:val="00C01275"/>
    <w:rsid w:val="00C01876"/>
    <w:rsid w:val="00C020D9"/>
    <w:rsid w:val="00C03255"/>
    <w:rsid w:val="00C0349E"/>
    <w:rsid w:val="00C038AD"/>
    <w:rsid w:val="00C03B79"/>
    <w:rsid w:val="00C05457"/>
    <w:rsid w:val="00C06112"/>
    <w:rsid w:val="00C0622F"/>
    <w:rsid w:val="00C07307"/>
    <w:rsid w:val="00C07484"/>
    <w:rsid w:val="00C104B2"/>
    <w:rsid w:val="00C10EC1"/>
    <w:rsid w:val="00C11244"/>
    <w:rsid w:val="00C112C7"/>
    <w:rsid w:val="00C1137F"/>
    <w:rsid w:val="00C11689"/>
    <w:rsid w:val="00C11B80"/>
    <w:rsid w:val="00C11D87"/>
    <w:rsid w:val="00C12631"/>
    <w:rsid w:val="00C12F0F"/>
    <w:rsid w:val="00C13732"/>
    <w:rsid w:val="00C13A94"/>
    <w:rsid w:val="00C14407"/>
    <w:rsid w:val="00C14692"/>
    <w:rsid w:val="00C1483B"/>
    <w:rsid w:val="00C14BC6"/>
    <w:rsid w:val="00C14EAE"/>
    <w:rsid w:val="00C15AB2"/>
    <w:rsid w:val="00C15BEC"/>
    <w:rsid w:val="00C15C69"/>
    <w:rsid w:val="00C15DAB"/>
    <w:rsid w:val="00C16A61"/>
    <w:rsid w:val="00C17078"/>
    <w:rsid w:val="00C17E39"/>
    <w:rsid w:val="00C201E1"/>
    <w:rsid w:val="00C2035A"/>
    <w:rsid w:val="00C20417"/>
    <w:rsid w:val="00C2084C"/>
    <w:rsid w:val="00C21113"/>
    <w:rsid w:val="00C212F2"/>
    <w:rsid w:val="00C21BD7"/>
    <w:rsid w:val="00C22AFE"/>
    <w:rsid w:val="00C235C4"/>
    <w:rsid w:val="00C235E1"/>
    <w:rsid w:val="00C23EA0"/>
    <w:rsid w:val="00C246B8"/>
    <w:rsid w:val="00C24889"/>
    <w:rsid w:val="00C24A8E"/>
    <w:rsid w:val="00C253A0"/>
    <w:rsid w:val="00C25680"/>
    <w:rsid w:val="00C25859"/>
    <w:rsid w:val="00C25BF5"/>
    <w:rsid w:val="00C25EC9"/>
    <w:rsid w:val="00C269D3"/>
    <w:rsid w:val="00C26B10"/>
    <w:rsid w:val="00C27641"/>
    <w:rsid w:val="00C3035B"/>
    <w:rsid w:val="00C303E3"/>
    <w:rsid w:val="00C3083D"/>
    <w:rsid w:val="00C30904"/>
    <w:rsid w:val="00C31A43"/>
    <w:rsid w:val="00C324D9"/>
    <w:rsid w:val="00C327AD"/>
    <w:rsid w:val="00C32A9B"/>
    <w:rsid w:val="00C32F3A"/>
    <w:rsid w:val="00C32F55"/>
    <w:rsid w:val="00C33A00"/>
    <w:rsid w:val="00C33B40"/>
    <w:rsid w:val="00C33EAC"/>
    <w:rsid w:val="00C34257"/>
    <w:rsid w:val="00C34E1A"/>
    <w:rsid w:val="00C34F2D"/>
    <w:rsid w:val="00C3562F"/>
    <w:rsid w:val="00C35C05"/>
    <w:rsid w:val="00C35D2F"/>
    <w:rsid w:val="00C35EE3"/>
    <w:rsid w:val="00C366A6"/>
    <w:rsid w:val="00C3682D"/>
    <w:rsid w:val="00C36A24"/>
    <w:rsid w:val="00C36BD2"/>
    <w:rsid w:val="00C36D73"/>
    <w:rsid w:val="00C36D9F"/>
    <w:rsid w:val="00C36DDC"/>
    <w:rsid w:val="00C37005"/>
    <w:rsid w:val="00C370BC"/>
    <w:rsid w:val="00C37102"/>
    <w:rsid w:val="00C37633"/>
    <w:rsid w:val="00C37EB1"/>
    <w:rsid w:val="00C40487"/>
    <w:rsid w:val="00C40D20"/>
    <w:rsid w:val="00C40E2F"/>
    <w:rsid w:val="00C413D5"/>
    <w:rsid w:val="00C4199A"/>
    <w:rsid w:val="00C41F62"/>
    <w:rsid w:val="00C4203F"/>
    <w:rsid w:val="00C426B2"/>
    <w:rsid w:val="00C42AFE"/>
    <w:rsid w:val="00C4379F"/>
    <w:rsid w:val="00C439EF"/>
    <w:rsid w:val="00C44F6F"/>
    <w:rsid w:val="00C45032"/>
    <w:rsid w:val="00C45088"/>
    <w:rsid w:val="00C45435"/>
    <w:rsid w:val="00C45AA1"/>
    <w:rsid w:val="00C45F7F"/>
    <w:rsid w:val="00C463A4"/>
    <w:rsid w:val="00C464C2"/>
    <w:rsid w:val="00C46EF6"/>
    <w:rsid w:val="00C472E8"/>
    <w:rsid w:val="00C4782B"/>
    <w:rsid w:val="00C4799F"/>
    <w:rsid w:val="00C500EC"/>
    <w:rsid w:val="00C50517"/>
    <w:rsid w:val="00C5059B"/>
    <w:rsid w:val="00C50D62"/>
    <w:rsid w:val="00C50ED5"/>
    <w:rsid w:val="00C51410"/>
    <w:rsid w:val="00C51898"/>
    <w:rsid w:val="00C519D1"/>
    <w:rsid w:val="00C51A0B"/>
    <w:rsid w:val="00C51C00"/>
    <w:rsid w:val="00C51E73"/>
    <w:rsid w:val="00C52385"/>
    <w:rsid w:val="00C52469"/>
    <w:rsid w:val="00C525F0"/>
    <w:rsid w:val="00C5270B"/>
    <w:rsid w:val="00C5382F"/>
    <w:rsid w:val="00C53833"/>
    <w:rsid w:val="00C53E3F"/>
    <w:rsid w:val="00C53F12"/>
    <w:rsid w:val="00C54ED9"/>
    <w:rsid w:val="00C5548D"/>
    <w:rsid w:val="00C5551F"/>
    <w:rsid w:val="00C5596A"/>
    <w:rsid w:val="00C5598C"/>
    <w:rsid w:val="00C56C02"/>
    <w:rsid w:val="00C56D8E"/>
    <w:rsid w:val="00C57298"/>
    <w:rsid w:val="00C57367"/>
    <w:rsid w:val="00C5754B"/>
    <w:rsid w:val="00C60C17"/>
    <w:rsid w:val="00C61720"/>
    <w:rsid w:val="00C6476F"/>
    <w:rsid w:val="00C64870"/>
    <w:rsid w:val="00C64ABA"/>
    <w:rsid w:val="00C64BE8"/>
    <w:rsid w:val="00C6549A"/>
    <w:rsid w:val="00C657C2"/>
    <w:rsid w:val="00C65C4A"/>
    <w:rsid w:val="00C66095"/>
    <w:rsid w:val="00C660E2"/>
    <w:rsid w:val="00C67520"/>
    <w:rsid w:val="00C70157"/>
    <w:rsid w:val="00C70370"/>
    <w:rsid w:val="00C708D1"/>
    <w:rsid w:val="00C70D4E"/>
    <w:rsid w:val="00C71078"/>
    <w:rsid w:val="00C713CA"/>
    <w:rsid w:val="00C72218"/>
    <w:rsid w:val="00C72A58"/>
    <w:rsid w:val="00C73148"/>
    <w:rsid w:val="00C73177"/>
    <w:rsid w:val="00C73622"/>
    <w:rsid w:val="00C736C4"/>
    <w:rsid w:val="00C738A4"/>
    <w:rsid w:val="00C739A9"/>
    <w:rsid w:val="00C741A4"/>
    <w:rsid w:val="00C74CDA"/>
    <w:rsid w:val="00C75892"/>
    <w:rsid w:val="00C75CE9"/>
    <w:rsid w:val="00C76058"/>
    <w:rsid w:val="00C76EFB"/>
    <w:rsid w:val="00C7739F"/>
    <w:rsid w:val="00C776D4"/>
    <w:rsid w:val="00C7770B"/>
    <w:rsid w:val="00C777C8"/>
    <w:rsid w:val="00C77C8C"/>
    <w:rsid w:val="00C80F12"/>
    <w:rsid w:val="00C81164"/>
    <w:rsid w:val="00C817EE"/>
    <w:rsid w:val="00C81891"/>
    <w:rsid w:val="00C82375"/>
    <w:rsid w:val="00C828B5"/>
    <w:rsid w:val="00C82A3C"/>
    <w:rsid w:val="00C832B3"/>
    <w:rsid w:val="00C836F7"/>
    <w:rsid w:val="00C85660"/>
    <w:rsid w:val="00C86A92"/>
    <w:rsid w:val="00C870D6"/>
    <w:rsid w:val="00C87327"/>
    <w:rsid w:val="00C876D6"/>
    <w:rsid w:val="00C877E1"/>
    <w:rsid w:val="00C8789F"/>
    <w:rsid w:val="00C90334"/>
    <w:rsid w:val="00C903ED"/>
    <w:rsid w:val="00C90DAE"/>
    <w:rsid w:val="00C91902"/>
    <w:rsid w:val="00C919D2"/>
    <w:rsid w:val="00C91EE4"/>
    <w:rsid w:val="00C922EE"/>
    <w:rsid w:val="00C92459"/>
    <w:rsid w:val="00C92861"/>
    <w:rsid w:val="00C93204"/>
    <w:rsid w:val="00C9323C"/>
    <w:rsid w:val="00C9332F"/>
    <w:rsid w:val="00C943A9"/>
    <w:rsid w:val="00C94469"/>
    <w:rsid w:val="00C945F4"/>
    <w:rsid w:val="00C94A73"/>
    <w:rsid w:val="00C94D46"/>
    <w:rsid w:val="00C9531F"/>
    <w:rsid w:val="00C95D16"/>
    <w:rsid w:val="00C95E4D"/>
    <w:rsid w:val="00C95F7F"/>
    <w:rsid w:val="00C96344"/>
    <w:rsid w:val="00C9700C"/>
    <w:rsid w:val="00C976EE"/>
    <w:rsid w:val="00C97A82"/>
    <w:rsid w:val="00CA0166"/>
    <w:rsid w:val="00CA02FA"/>
    <w:rsid w:val="00CA0DB1"/>
    <w:rsid w:val="00CA1034"/>
    <w:rsid w:val="00CA106F"/>
    <w:rsid w:val="00CA1204"/>
    <w:rsid w:val="00CA13A5"/>
    <w:rsid w:val="00CA1AC9"/>
    <w:rsid w:val="00CA2473"/>
    <w:rsid w:val="00CA2485"/>
    <w:rsid w:val="00CA25D3"/>
    <w:rsid w:val="00CA26A3"/>
    <w:rsid w:val="00CA2BD4"/>
    <w:rsid w:val="00CA2BFD"/>
    <w:rsid w:val="00CA3390"/>
    <w:rsid w:val="00CA33CA"/>
    <w:rsid w:val="00CA3445"/>
    <w:rsid w:val="00CA35C2"/>
    <w:rsid w:val="00CA3828"/>
    <w:rsid w:val="00CA39D6"/>
    <w:rsid w:val="00CA4414"/>
    <w:rsid w:val="00CA49CF"/>
    <w:rsid w:val="00CA574A"/>
    <w:rsid w:val="00CA582B"/>
    <w:rsid w:val="00CA6652"/>
    <w:rsid w:val="00CA76F8"/>
    <w:rsid w:val="00CA7C1F"/>
    <w:rsid w:val="00CB04D7"/>
    <w:rsid w:val="00CB0B25"/>
    <w:rsid w:val="00CB0F19"/>
    <w:rsid w:val="00CB1026"/>
    <w:rsid w:val="00CB1940"/>
    <w:rsid w:val="00CB2097"/>
    <w:rsid w:val="00CB2449"/>
    <w:rsid w:val="00CB2CD2"/>
    <w:rsid w:val="00CB4511"/>
    <w:rsid w:val="00CB4562"/>
    <w:rsid w:val="00CB4AA2"/>
    <w:rsid w:val="00CB4AE0"/>
    <w:rsid w:val="00CB511C"/>
    <w:rsid w:val="00CB515D"/>
    <w:rsid w:val="00CB5326"/>
    <w:rsid w:val="00CB5446"/>
    <w:rsid w:val="00CB5B2D"/>
    <w:rsid w:val="00CB608D"/>
    <w:rsid w:val="00CB63AC"/>
    <w:rsid w:val="00CB76A2"/>
    <w:rsid w:val="00CB7825"/>
    <w:rsid w:val="00CB7A3A"/>
    <w:rsid w:val="00CB7D5D"/>
    <w:rsid w:val="00CB7E46"/>
    <w:rsid w:val="00CC048F"/>
    <w:rsid w:val="00CC0572"/>
    <w:rsid w:val="00CC1280"/>
    <w:rsid w:val="00CC1844"/>
    <w:rsid w:val="00CC1FF7"/>
    <w:rsid w:val="00CC3282"/>
    <w:rsid w:val="00CC3477"/>
    <w:rsid w:val="00CC3577"/>
    <w:rsid w:val="00CC3CD1"/>
    <w:rsid w:val="00CC412E"/>
    <w:rsid w:val="00CC4618"/>
    <w:rsid w:val="00CC583F"/>
    <w:rsid w:val="00CC5967"/>
    <w:rsid w:val="00CC5CE4"/>
    <w:rsid w:val="00CC5E1F"/>
    <w:rsid w:val="00CC6796"/>
    <w:rsid w:val="00CC70DD"/>
    <w:rsid w:val="00CC7BF7"/>
    <w:rsid w:val="00CD070C"/>
    <w:rsid w:val="00CD0D6C"/>
    <w:rsid w:val="00CD102E"/>
    <w:rsid w:val="00CD106C"/>
    <w:rsid w:val="00CD1FAE"/>
    <w:rsid w:val="00CD2192"/>
    <w:rsid w:val="00CD2405"/>
    <w:rsid w:val="00CD25F3"/>
    <w:rsid w:val="00CD31A8"/>
    <w:rsid w:val="00CD4186"/>
    <w:rsid w:val="00CD44DA"/>
    <w:rsid w:val="00CD461C"/>
    <w:rsid w:val="00CD4E33"/>
    <w:rsid w:val="00CD5B87"/>
    <w:rsid w:val="00CD5CD2"/>
    <w:rsid w:val="00CD60AD"/>
    <w:rsid w:val="00CD62AD"/>
    <w:rsid w:val="00CD6E52"/>
    <w:rsid w:val="00CD7563"/>
    <w:rsid w:val="00CD75F5"/>
    <w:rsid w:val="00CD7EF3"/>
    <w:rsid w:val="00CE049F"/>
    <w:rsid w:val="00CE077E"/>
    <w:rsid w:val="00CE0950"/>
    <w:rsid w:val="00CE0EBD"/>
    <w:rsid w:val="00CE192A"/>
    <w:rsid w:val="00CE1F48"/>
    <w:rsid w:val="00CE1FED"/>
    <w:rsid w:val="00CE322B"/>
    <w:rsid w:val="00CE3BFB"/>
    <w:rsid w:val="00CE47A3"/>
    <w:rsid w:val="00CE487D"/>
    <w:rsid w:val="00CE4D02"/>
    <w:rsid w:val="00CE4D78"/>
    <w:rsid w:val="00CE5041"/>
    <w:rsid w:val="00CE51D1"/>
    <w:rsid w:val="00CE5938"/>
    <w:rsid w:val="00CE740D"/>
    <w:rsid w:val="00CE795E"/>
    <w:rsid w:val="00CE7FC7"/>
    <w:rsid w:val="00CF0411"/>
    <w:rsid w:val="00CF1589"/>
    <w:rsid w:val="00CF1CF1"/>
    <w:rsid w:val="00CF1DC5"/>
    <w:rsid w:val="00CF211E"/>
    <w:rsid w:val="00CF2678"/>
    <w:rsid w:val="00CF26D0"/>
    <w:rsid w:val="00CF2A2D"/>
    <w:rsid w:val="00CF2ECC"/>
    <w:rsid w:val="00CF2FEE"/>
    <w:rsid w:val="00CF30B9"/>
    <w:rsid w:val="00CF3894"/>
    <w:rsid w:val="00CF3902"/>
    <w:rsid w:val="00CF3E36"/>
    <w:rsid w:val="00CF3ED2"/>
    <w:rsid w:val="00CF40D4"/>
    <w:rsid w:val="00CF451A"/>
    <w:rsid w:val="00CF4985"/>
    <w:rsid w:val="00CF4D54"/>
    <w:rsid w:val="00CF4E7C"/>
    <w:rsid w:val="00CF53D9"/>
    <w:rsid w:val="00CF5428"/>
    <w:rsid w:val="00CF5EBB"/>
    <w:rsid w:val="00CF61D5"/>
    <w:rsid w:val="00CF62F1"/>
    <w:rsid w:val="00CF6655"/>
    <w:rsid w:val="00CF7580"/>
    <w:rsid w:val="00CF7BB6"/>
    <w:rsid w:val="00CF7EBF"/>
    <w:rsid w:val="00D004D9"/>
    <w:rsid w:val="00D01FD4"/>
    <w:rsid w:val="00D02260"/>
    <w:rsid w:val="00D02760"/>
    <w:rsid w:val="00D02BDA"/>
    <w:rsid w:val="00D03498"/>
    <w:rsid w:val="00D035CB"/>
    <w:rsid w:val="00D03D95"/>
    <w:rsid w:val="00D03F8F"/>
    <w:rsid w:val="00D04043"/>
    <w:rsid w:val="00D040A6"/>
    <w:rsid w:val="00D04BCE"/>
    <w:rsid w:val="00D05047"/>
    <w:rsid w:val="00D0504B"/>
    <w:rsid w:val="00D05415"/>
    <w:rsid w:val="00D0546B"/>
    <w:rsid w:val="00D05AFE"/>
    <w:rsid w:val="00D068F9"/>
    <w:rsid w:val="00D076DA"/>
    <w:rsid w:val="00D07C08"/>
    <w:rsid w:val="00D101F6"/>
    <w:rsid w:val="00D10459"/>
    <w:rsid w:val="00D111DA"/>
    <w:rsid w:val="00D114F6"/>
    <w:rsid w:val="00D116AE"/>
    <w:rsid w:val="00D12151"/>
    <w:rsid w:val="00D13A43"/>
    <w:rsid w:val="00D13BAF"/>
    <w:rsid w:val="00D142B1"/>
    <w:rsid w:val="00D14881"/>
    <w:rsid w:val="00D14CE4"/>
    <w:rsid w:val="00D15504"/>
    <w:rsid w:val="00D15DF9"/>
    <w:rsid w:val="00D16490"/>
    <w:rsid w:val="00D16551"/>
    <w:rsid w:val="00D16BCC"/>
    <w:rsid w:val="00D17DAB"/>
    <w:rsid w:val="00D17F35"/>
    <w:rsid w:val="00D200A3"/>
    <w:rsid w:val="00D207FA"/>
    <w:rsid w:val="00D213B7"/>
    <w:rsid w:val="00D21E9F"/>
    <w:rsid w:val="00D221F6"/>
    <w:rsid w:val="00D22645"/>
    <w:rsid w:val="00D234C5"/>
    <w:rsid w:val="00D2378F"/>
    <w:rsid w:val="00D239A9"/>
    <w:rsid w:val="00D23BF9"/>
    <w:rsid w:val="00D25099"/>
    <w:rsid w:val="00D2521D"/>
    <w:rsid w:val="00D25312"/>
    <w:rsid w:val="00D2556B"/>
    <w:rsid w:val="00D25A07"/>
    <w:rsid w:val="00D260B2"/>
    <w:rsid w:val="00D2645E"/>
    <w:rsid w:val="00D267B6"/>
    <w:rsid w:val="00D27218"/>
    <w:rsid w:val="00D27F9E"/>
    <w:rsid w:val="00D3041D"/>
    <w:rsid w:val="00D30B83"/>
    <w:rsid w:val="00D30EEE"/>
    <w:rsid w:val="00D31053"/>
    <w:rsid w:val="00D3116B"/>
    <w:rsid w:val="00D3127C"/>
    <w:rsid w:val="00D315FB"/>
    <w:rsid w:val="00D3178B"/>
    <w:rsid w:val="00D31A7B"/>
    <w:rsid w:val="00D345C7"/>
    <w:rsid w:val="00D34C02"/>
    <w:rsid w:val="00D34F1A"/>
    <w:rsid w:val="00D3520A"/>
    <w:rsid w:val="00D35CE9"/>
    <w:rsid w:val="00D3611E"/>
    <w:rsid w:val="00D36A69"/>
    <w:rsid w:val="00D36C3D"/>
    <w:rsid w:val="00D373EB"/>
    <w:rsid w:val="00D37B6B"/>
    <w:rsid w:val="00D37FCF"/>
    <w:rsid w:val="00D40A0C"/>
    <w:rsid w:val="00D4159B"/>
    <w:rsid w:val="00D417D7"/>
    <w:rsid w:val="00D4253D"/>
    <w:rsid w:val="00D43029"/>
    <w:rsid w:val="00D43212"/>
    <w:rsid w:val="00D44095"/>
    <w:rsid w:val="00D44452"/>
    <w:rsid w:val="00D448FB"/>
    <w:rsid w:val="00D45156"/>
    <w:rsid w:val="00D4595C"/>
    <w:rsid w:val="00D46699"/>
    <w:rsid w:val="00D46940"/>
    <w:rsid w:val="00D46FDB"/>
    <w:rsid w:val="00D47084"/>
    <w:rsid w:val="00D501C8"/>
    <w:rsid w:val="00D5164E"/>
    <w:rsid w:val="00D517C4"/>
    <w:rsid w:val="00D519C4"/>
    <w:rsid w:val="00D52622"/>
    <w:rsid w:val="00D52EB1"/>
    <w:rsid w:val="00D53060"/>
    <w:rsid w:val="00D53441"/>
    <w:rsid w:val="00D53B19"/>
    <w:rsid w:val="00D55460"/>
    <w:rsid w:val="00D55817"/>
    <w:rsid w:val="00D56124"/>
    <w:rsid w:val="00D569B7"/>
    <w:rsid w:val="00D56DF7"/>
    <w:rsid w:val="00D57366"/>
    <w:rsid w:val="00D5743F"/>
    <w:rsid w:val="00D57B60"/>
    <w:rsid w:val="00D60161"/>
    <w:rsid w:val="00D605A0"/>
    <w:rsid w:val="00D606EE"/>
    <w:rsid w:val="00D6089E"/>
    <w:rsid w:val="00D615D5"/>
    <w:rsid w:val="00D61A23"/>
    <w:rsid w:val="00D61D6D"/>
    <w:rsid w:val="00D62B7A"/>
    <w:rsid w:val="00D62C7E"/>
    <w:rsid w:val="00D6326C"/>
    <w:rsid w:val="00D637E0"/>
    <w:rsid w:val="00D63AE4"/>
    <w:rsid w:val="00D64693"/>
    <w:rsid w:val="00D647F4"/>
    <w:rsid w:val="00D64A5F"/>
    <w:rsid w:val="00D65186"/>
    <w:rsid w:val="00D653F6"/>
    <w:rsid w:val="00D6611E"/>
    <w:rsid w:val="00D661B7"/>
    <w:rsid w:val="00D667BC"/>
    <w:rsid w:val="00D6692D"/>
    <w:rsid w:val="00D66B7D"/>
    <w:rsid w:val="00D66E4D"/>
    <w:rsid w:val="00D67048"/>
    <w:rsid w:val="00D67103"/>
    <w:rsid w:val="00D67227"/>
    <w:rsid w:val="00D674F8"/>
    <w:rsid w:val="00D67928"/>
    <w:rsid w:val="00D67A59"/>
    <w:rsid w:val="00D67A79"/>
    <w:rsid w:val="00D67AD1"/>
    <w:rsid w:val="00D67E6B"/>
    <w:rsid w:val="00D701E6"/>
    <w:rsid w:val="00D708D2"/>
    <w:rsid w:val="00D709D1"/>
    <w:rsid w:val="00D711F5"/>
    <w:rsid w:val="00D71574"/>
    <w:rsid w:val="00D71AAE"/>
    <w:rsid w:val="00D71B56"/>
    <w:rsid w:val="00D7203B"/>
    <w:rsid w:val="00D7215A"/>
    <w:rsid w:val="00D72ADE"/>
    <w:rsid w:val="00D73328"/>
    <w:rsid w:val="00D73411"/>
    <w:rsid w:val="00D73439"/>
    <w:rsid w:val="00D73E39"/>
    <w:rsid w:val="00D74AC1"/>
    <w:rsid w:val="00D75543"/>
    <w:rsid w:val="00D7583C"/>
    <w:rsid w:val="00D75852"/>
    <w:rsid w:val="00D758A6"/>
    <w:rsid w:val="00D760D7"/>
    <w:rsid w:val="00D76433"/>
    <w:rsid w:val="00D765C7"/>
    <w:rsid w:val="00D766EC"/>
    <w:rsid w:val="00D76956"/>
    <w:rsid w:val="00D76ACA"/>
    <w:rsid w:val="00D77383"/>
    <w:rsid w:val="00D77642"/>
    <w:rsid w:val="00D77717"/>
    <w:rsid w:val="00D77CCE"/>
    <w:rsid w:val="00D77EE2"/>
    <w:rsid w:val="00D80031"/>
    <w:rsid w:val="00D80614"/>
    <w:rsid w:val="00D80C63"/>
    <w:rsid w:val="00D80DB3"/>
    <w:rsid w:val="00D80F32"/>
    <w:rsid w:val="00D81007"/>
    <w:rsid w:val="00D8126A"/>
    <w:rsid w:val="00D81FAC"/>
    <w:rsid w:val="00D82078"/>
    <w:rsid w:val="00D82197"/>
    <w:rsid w:val="00D825BE"/>
    <w:rsid w:val="00D82B7C"/>
    <w:rsid w:val="00D83351"/>
    <w:rsid w:val="00D83759"/>
    <w:rsid w:val="00D84C74"/>
    <w:rsid w:val="00D84DCD"/>
    <w:rsid w:val="00D85169"/>
    <w:rsid w:val="00D85DB3"/>
    <w:rsid w:val="00D8645D"/>
    <w:rsid w:val="00D86C58"/>
    <w:rsid w:val="00D876C8"/>
    <w:rsid w:val="00D87F54"/>
    <w:rsid w:val="00D9073D"/>
    <w:rsid w:val="00D9089C"/>
    <w:rsid w:val="00D90ED5"/>
    <w:rsid w:val="00D9162C"/>
    <w:rsid w:val="00D92482"/>
    <w:rsid w:val="00D92622"/>
    <w:rsid w:val="00D92804"/>
    <w:rsid w:val="00D92E08"/>
    <w:rsid w:val="00D932EA"/>
    <w:rsid w:val="00D937D0"/>
    <w:rsid w:val="00D93C70"/>
    <w:rsid w:val="00D94C03"/>
    <w:rsid w:val="00D94D23"/>
    <w:rsid w:val="00D94F72"/>
    <w:rsid w:val="00D94FF8"/>
    <w:rsid w:val="00D9563A"/>
    <w:rsid w:val="00D95CD3"/>
    <w:rsid w:val="00D95E82"/>
    <w:rsid w:val="00D96665"/>
    <w:rsid w:val="00D976B1"/>
    <w:rsid w:val="00D97CA3"/>
    <w:rsid w:val="00DA05A3"/>
    <w:rsid w:val="00DA0631"/>
    <w:rsid w:val="00DA0F58"/>
    <w:rsid w:val="00DA0FF5"/>
    <w:rsid w:val="00DA1340"/>
    <w:rsid w:val="00DA17A8"/>
    <w:rsid w:val="00DA1EAA"/>
    <w:rsid w:val="00DA28EA"/>
    <w:rsid w:val="00DA3042"/>
    <w:rsid w:val="00DA3333"/>
    <w:rsid w:val="00DA38BB"/>
    <w:rsid w:val="00DA408E"/>
    <w:rsid w:val="00DA4755"/>
    <w:rsid w:val="00DA4C08"/>
    <w:rsid w:val="00DA4C6E"/>
    <w:rsid w:val="00DA4CF6"/>
    <w:rsid w:val="00DA56D3"/>
    <w:rsid w:val="00DA5833"/>
    <w:rsid w:val="00DA58AA"/>
    <w:rsid w:val="00DA598A"/>
    <w:rsid w:val="00DA5A3D"/>
    <w:rsid w:val="00DA5C96"/>
    <w:rsid w:val="00DA5DFA"/>
    <w:rsid w:val="00DA6012"/>
    <w:rsid w:val="00DA6623"/>
    <w:rsid w:val="00DA664A"/>
    <w:rsid w:val="00DA685F"/>
    <w:rsid w:val="00DA699E"/>
    <w:rsid w:val="00DA6BC0"/>
    <w:rsid w:val="00DA7A2F"/>
    <w:rsid w:val="00DB02D3"/>
    <w:rsid w:val="00DB104F"/>
    <w:rsid w:val="00DB315A"/>
    <w:rsid w:val="00DB318F"/>
    <w:rsid w:val="00DB32E5"/>
    <w:rsid w:val="00DB358A"/>
    <w:rsid w:val="00DB36B2"/>
    <w:rsid w:val="00DB4083"/>
    <w:rsid w:val="00DB53EE"/>
    <w:rsid w:val="00DB5BA4"/>
    <w:rsid w:val="00DB5FC4"/>
    <w:rsid w:val="00DB652D"/>
    <w:rsid w:val="00DB6950"/>
    <w:rsid w:val="00DB7260"/>
    <w:rsid w:val="00DC0366"/>
    <w:rsid w:val="00DC054D"/>
    <w:rsid w:val="00DC068E"/>
    <w:rsid w:val="00DC0AAF"/>
    <w:rsid w:val="00DC0EC5"/>
    <w:rsid w:val="00DC1975"/>
    <w:rsid w:val="00DC1C3D"/>
    <w:rsid w:val="00DC28F0"/>
    <w:rsid w:val="00DC2F5A"/>
    <w:rsid w:val="00DC2FBC"/>
    <w:rsid w:val="00DC3162"/>
    <w:rsid w:val="00DC3335"/>
    <w:rsid w:val="00DC3659"/>
    <w:rsid w:val="00DC38B7"/>
    <w:rsid w:val="00DC4533"/>
    <w:rsid w:val="00DC4E8B"/>
    <w:rsid w:val="00DC59F7"/>
    <w:rsid w:val="00DC62E0"/>
    <w:rsid w:val="00DC63B2"/>
    <w:rsid w:val="00DC678D"/>
    <w:rsid w:val="00DC742C"/>
    <w:rsid w:val="00DC750B"/>
    <w:rsid w:val="00DC7E7A"/>
    <w:rsid w:val="00DD06AA"/>
    <w:rsid w:val="00DD13BC"/>
    <w:rsid w:val="00DD1A07"/>
    <w:rsid w:val="00DD2C38"/>
    <w:rsid w:val="00DD390E"/>
    <w:rsid w:val="00DD3C88"/>
    <w:rsid w:val="00DD4177"/>
    <w:rsid w:val="00DD484D"/>
    <w:rsid w:val="00DD489B"/>
    <w:rsid w:val="00DD55F6"/>
    <w:rsid w:val="00DD5863"/>
    <w:rsid w:val="00DD5A5D"/>
    <w:rsid w:val="00DD5AA5"/>
    <w:rsid w:val="00DD6460"/>
    <w:rsid w:val="00DD6A4A"/>
    <w:rsid w:val="00DD6A92"/>
    <w:rsid w:val="00DD7F87"/>
    <w:rsid w:val="00DE0762"/>
    <w:rsid w:val="00DE106E"/>
    <w:rsid w:val="00DE113E"/>
    <w:rsid w:val="00DE1222"/>
    <w:rsid w:val="00DE1379"/>
    <w:rsid w:val="00DE2D30"/>
    <w:rsid w:val="00DE2F12"/>
    <w:rsid w:val="00DE3244"/>
    <w:rsid w:val="00DE34FC"/>
    <w:rsid w:val="00DE36A0"/>
    <w:rsid w:val="00DE3DD5"/>
    <w:rsid w:val="00DE5074"/>
    <w:rsid w:val="00DE511F"/>
    <w:rsid w:val="00DE5479"/>
    <w:rsid w:val="00DE563E"/>
    <w:rsid w:val="00DE6045"/>
    <w:rsid w:val="00DE6B48"/>
    <w:rsid w:val="00DE6E22"/>
    <w:rsid w:val="00DE70C1"/>
    <w:rsid w:val="00DE7E58"/>
    <w:rsid w:val="00DF00FA"/>
    <w:rsid w:val="00DF0505"/>
    <w:rsid w:val="00DF07E5"/>
    <w:rsid w:val="00DF0BD8"/>
    <w:rsid w:val="00DF0CD7"/>
    <w:rsid w:val="00DF0D81"/>
    <w:rsid w:val="00DF1477"/>
    <w:rsid w:val="00DF1CA2"/>
    <w:rsid w:val="00DF1D81"/>
    <w:rsid w:val="00DF2386"/>
    <w:rsid w:val="00DF2535"/>
    <w:rsid w:val="00DF26AB"/>
    <w:rsid w:val="00DF26B3"/>
    <w:rsid w:val="00DF2718"/>
    <w:rsid w:val="00DF2B48"/>
    <w:rsid w:val="00DF2F14"/>
    <w:rsid w:val="00DF3439"/>
    <w:rsid w:val="00DF3C40"/>
    <w:rsid w:val="00DF3D31"/>
    <w:rsid w:val="00DF4408"/>
    <w:rsid w:val="00DF4A3B"/>
    <w:rsid w:val="00DF4C5D"/>
    <w:rsid w:val="00DF4E2D"/>
    <w:rsid w:val="00DF558E"/>
    <w:rsid w:val="00DF5C55"/>
    <w:rsid w:val="00DF7077"/>
    <w:rsid w:val="00DF7376"/>
    <w:rsid w:val="00DF7BB5"/>
    <w:rsid w:val="00DF7C9A"/>
    <w:rsid w:val="00E0062C"/>
    <w:rsid w:val="00E00B33"/>
    <w:rsid w:val="00E016BE"/>
    <w:rsid w:val="00E018FC"/>
    <w:rsid w:val="00E02194"/>
    <w:rsid w:val="00E02446"/>
    <w:rsid w:val="00E02847"/>
    <w:rsid w:val="00E02CE4"/>
    <w:rsid w:val="00E03144"/>
    <w:rsid w:val="00E03593"/>
    <w:rsid w:val="00E036F2"/>
    <w:rsid w:val="00E03766"/>
    <w:rsid w:val="00E039B7"/>
    <w:rsid w:val="00E03B27"/>
    <w:rsid w:val="00E04227"/>
    <w:rsid w:val="00E045EA"/>
    <w:rsid w:val="00E0488C"/>
    <w:rsid w:val="00E04DF6"/>
    <w:rsid w:val="00E053BD"/>
    <w:rsid w:val="00E058D6"/>
    <w:rsid w:val="00E05C1E"/>
    <w:rsid w:val="00E05CDF"/>
    <w:rsid w:val="00E06793"/>
    <w:rsid w:val="00E06B7A"/>
    <w:rsid w:val="00E06DE3"/>
    <w:rsid w:val="00E07ADB"/>
    <w:rsid w:val="00E07CA7"/>
    <w:rsid w:val="00E104A1"/>
    <w:rsid w:val="00E10D8F"/>
    <w:rsid w:val="00E116E2"/>
    <w:rsid w:val="00E121F9"/>
    <w:rsid w:val="00E12344"/>
    <w:rsid w:val="00E12C07"/>
    <w:rsid w:val="00E1343C"/>
    <w:rsid w:val="00E13486"/>
    <w:rsid w:val="00E13538"/>
    <w:rsid w:val="00E139FF"/>
    <w:rsid w:val="00E142B0"/>
    <w:rsid w:val="00E14D07"/>
    <w:rsid w:val="00E14D97"/>
    <w:rsid w:val="00E1533B"/>
    <w:rsid w:val="00E15479"/>
    <w:rsid w:val="00E15B4A"/>
    <w:rsid w:val="00E15FEF"/>
    <w:rsid w:val="00E16B52"/>
    <w:rsid w:val="00E16D75"/>
    <w:rsid w:val="00E176FD"/>
    <w:rsid w:val="00E1796B"/>
    <w:rsid w:val="00E17ABA"/>
    <w:rsid w:val="00E17FA9"/>
    <w:rsid w:val="00E2017D"/>
    <w:rsid w:val="00E20C22"/>
    <w:rsid w:val="00E211CA"/>
    <w:rsid w:val="00E213FB"/>
    <w:rsid w:val="00E2179F"/>
    <w:rsid w:val="00E21BA9"/>
    <w:rsid w:val="00E223AC"/>
    <w:rsid w:val="00E225C5"/>
    <w:rsid w:val="00E23503"/>
    <w:rsid w:val="00E23F99"/>
    <w:rsid w:val="00E24004"/>
    <w:rsid w:val="00E24208"/>
    <w:rsid w:val="00E2485A"/>
    <w:rsid w:val="00E2527E"/>
    <w:rsid w:val="00E252D3"/>
    <w:rsid w:val="00E2556E"/>
    <w:rsid w:val="00E2595E"/>
    <w:rsid w:val="00E25A00"/>
    <w:rsid w:val="00E25D8C"/>
    <w:rsid w:val="00E26008"/>
    <w:rsid w:val="00E26288"/>
    <w:rsid w:val="00E26EA7"/>
    <w:rsid w:val="00E304DC"/>
    <w:rsid w:val="00E30532"/>
    <w:rsid w:val="00E305DC"/>
    <w:rsid w:val="00E30C9F"/>
    <w:rsid w:val="00E310F5"/>
    <w:rsid w:val="00E31D51"/>
    <w:rsid w:val="00E32532"/>
    <w:rsid w:val="00E3292C"/>
    <w:rsid w:val="00E338E3"/>
    <w:rsid w:val="00E33F0A"/>
    <w:rsid w:val="00E34642"/>
    <w:rsid w:val="00E35831"/>
    <w:rsid w:val="00E358E2"/>
    <w:rsid w:val="00E35F64"/>
    <w:rsid w:val="00E35FCD"/>
    <w:rsid w:val="00E366D5"/>
    <w:rsid w:val="00E37145"/>
    <w:rsid w:val="00E37462"/>
    <w:rsid w:val="00E37B16"/>
    <w:rsid w:val="00E37EB1"/>
    <w:rsid w:val="00E4086E"/>
    <w:rsid w:val="00E415AE"/>
    <w:rsid w:val="00E419BC"/>
    <w:rsid w:val="00E41FBA"/>
    <w:rsid w:val="00E42106"/>
    <w:rsid w:val="00E422F6"/>
    <w:rsid w:val="00E42315"/>
    <w:rsid w:val="00E428ED"/>
    <w:rsid w:val="00E42ED8"/>
    <w:rsid w:val="00E4323C"/>
    <w:rsid w:val="00E43D71"/>
    <w:rsid w:val="00E444C5"/>
    <w:rsid w:val="00E446DE"/>
    <w:rsid w:val="00E44946"/>
    <w:rsid w:val="00E44A80"/>
    <w:rsid w:val="00E44C52"/>
    <w:rsid w:val="00E44DAD"/>
    <w:rsid w:val="00E457E9"/>
    <w:rsid w:val="00E45C17"/>
    <w:rsid w:val="00E468DD"/>
    <w:rsid w:val="00E470D4"/>
    <w:rsid w:val="00E47126"/>
    <w:rsid w:val="00E478B2"/>
    <w:rsid w:val="00E47B3D"/>
    <w:rsid w:val="00E500EA"/>
    <w:rsid w:val="00E50578"/>
    <w:rsid w:val="00E50AE7"/>
    <w:rsid w:val="00E50C4A"/>
    <w:rsid w:val="00E50D06"/>
    <w:rsid w:val="00E5197E"/>
    <w:rsid w:val="00E51E86"/>
    <w:rsid w:val="00E52B23"/>
    <w:rsid w:val="00E52D00"/>
    <w:rsid w:val="00E531AE"/>
    <w:rsid w:val="00E53576"/>
    <w:rsid w:val="00E5379B"/>
    <w:rsid w:val="00E537D3"/>
    <w:rsid w:val="00E53852"/>
    <w:rsid w:val="00E53BC2"/>
    <w:rsid w:val="00E53FBC"/>
    <w:rsid w:val="00E54001"/>
    <w:rsid w:val="00E545B4"/>
    <w:rsid w:val="00E54DFE"/>
    <w:rsid w:val="00E54FB3"/>
    <w:rsid w:val="00E552BB"/>
    <w:rsid w:val="00E55E2C"/>
    <w:rsid w:val="00E56B92"/>
    <w:rsid w:val="00E5745A"/>
    <w:rsid w:val="00E57890"/>
    <w:rsid w:val="00E57B9C"/>
    <w:rsid w:val="00E57D1C"/>
    <w:rsid w:val="00E60C9D"/>
    <w:rsid w:val="00E60CAB"/>
    <w:rsid w:val="00E60D07"/>
    <w:rsid w:val="00E612DE"/>
    <w:rsid w:val="00E61487"/>
    <w:rsid w:val="00E614D2"/>
    <w:rsid w:val="00E617AA"/>
    <w:rsid w:val="00E61A04"/>
    <w:rsid w:val="00E6250D"/>
    <w:rsid w:val="00E6279F"/>
    <w:rsid w:val="00E62D84"/>
    <w:rsid w:val="00E62EEA"/>
    <w:rsid w:val="00E632D7"/>
    <w:rsid w:val="00E63F57"/>
    <w:rsid w:val="00E64A4B"/>
    <w:rsid w:val="00E654B9"/>
    <w:rsid w:val="00E654CC"/>
    <w:rsid w:val="00E65E18"/>
    <w:rsid w:val="00E662B8"/>
    <w:rsid w:val="00E67087"/>
    <w:rsid w:val="00E677AD"/>
    <w:rsid w:val="00E67C82"/>
    <w:rsid w:val="00E70A88"/>
    <w:rsid w:val="00E7114A"/>
    <w:rsid w:val="00E71350"/>
    <w:rsid w:val="00E71FFF"/>
    <w:rsid w:val="00E72106"/>
    <w:rsid w:val="00E724AF"/>
    <w:rsid w:val="00E72C93"/>
    <w:rsid w:val="00E74186"/>
    <w:rsid w:val="00E74815"/>
    <w:rsid w:val="00E74B74"/>
    <w:rsid w:val="00E74E6A"/>
    <w:rsid w:val="00E756FE"/>
    <w:rsid w:val="00E75D5C"/>
    <w:rsid w:val="00E75DA4"/>
    <w:rsid w:val="00E76E03"/>
    <w:rsid w:val="00E773A4"/>
    <w:rsid w:val="00E776AF"/>
    <w:rsid w:val="00E80B43"/>
    <w:rsid w:val="00E80D57"/>
    <w:rsid w:val="00E8195C"/>
    <w:rsid w:val="00E81A56"/>
    <w:rsid w:val="00E81C09"/>
    <w:rsid w:val="00E82811"/>
    <w:rsid w:val="00E82BE8"/>
    <w:rsid w:val="00E8386A"/>
    <w:rsid w:val="00E840FC"/>
    <w:rsid w:val="00E842B4"/>
    <w:rsid w:val="00E84314"/>
    <w:rsid w:val="00E84381"/>
    <w:rsid w:val="00E84B3D"/>
    <w:rsid w:val="00E85334"/>
    <w:rsid w:val="00E860F6"/>
    <w:rsid w:val="00E863FA"/>
    <w:rsid w:val="00E86908"/>
    <w:rsid w:val="00E87013"/>
    <w:rsid w:val="00E870C3"/>
    <w:rsid w:val="00E87639"/>
    <w:rsid w:val="00E903D1"/>
    <w:rsid w:val="00E915E6"/>
    <w:rsid w:val="00E924F5"/>
    <w:rsid w:val="00E93310"/>
    <w:rsid w:val="00E942E4"/>
    <w:rsid w:val="00E94DA4"/>
    <w:rsid w:val="00E94E6E"/>
    <w:rsid w:val="00E9526C"/>
    <w:rsid w:val="00E95CDD"/>
    <w:rsid w:val="00E95E2F"/>
    <w:rsid w:val="00E965FB"/>
    <w:rsid w:val="00E975E4"/>
    <w:rsid w:val="00E9778B"/>
    <w:rsid w:val="00E97D73"/>
    <w:rsid w:val="00E97FEB"/>
    <w:rsid w:val="00EA05A6"/>
    <w:rsid w:val="00EA07B3"/>
    <w:rsid w:val="00EA0D3B"/>
    <w:rsid w:val="00EA106F"/>
    <w:rsid w:val="00EA12E9"/>
    <w:rsid w:val="00EA1E8F"/>
    <w:rsid w:val="00EA363C"/>
    <w:rsid w:val="00EA38BD"/>
    <w:rsid w:val="00EA39BD"/>
    <w:rsid w:val="00EA3D04"/>
    <w:rsid w:val="00EA48A5"/>
    <w:rsid w:val="00EA48E8"/>
    <w:rsid w:val="00EA51D9"/>
    <w:rsid w:val="00EA5A00"/>
    <w:rsid w:val="00EA6067"/>
    <w:rsid w:val="00EA62C7"/>
    <w:rsid w:val="00EA65BB"/>
    <w:rsid w:val="00EA65DE"/>
    <w:rsid w:val="00EA6876"/>
    <w:rsid w:val="00EA6BDA"/>
    <w:rsid w:val="00EA6D35"/>
    <w:rsid w:val="00EA6D8A"/>
    <w:rsid w:val="00EA7154"/>
    <w:rsid w:val="00EA7B78"/>
    <w:rsid w:val="00EB0327"/>
    <w:rsid w:val="00EB04DA"/>
    <w:rsid w:val="00EB0CB7"/>
    <w:rsid w:val="00EB0F8F"/>
    <w:rsid w:val="00EB1088"/>
    <w:rsid w:val="00EB1561"/>
    <w:rsid w:val="00EB169F"/>
    <w:rsid w:val="00EB2278"/>
    <w:rsid w:val="00EB2D4A"/>
    <w:rsid w:val="00EB2E85"/>
    <w:rsid w:val="00EB3509"/>
    <w:rsid w:val="00EB389D"/>
    <w:rsid w:val="00EB3B17"/>
    <w:rsid w:val="00EB40CE"/>
    <w:rsid w:val="00EB4462"/>
    <w:rsid w:val="00EB4890"/>
    <w:rsid w:val="00EB4955"/>
    <w:rsid w:val="00EB4A61"/>
    <w:rsid w:val="00EB4EB3"/>
    <w:rsid w:val="00EB5274"/>
    <w:rsid w:val="00EB52D3"/>
    <w:rsid w:val="00EB5470"/>
    <w:rsid w:val="00EB5A0C"/>
    <w:rsid w:val="00EB5FDF"/>
    <w:rsid w:val="00EB68AD"/>
    <w:rsid w:val="00EB77F3"/>
    <w:rsid w:val="00EC0119"/>
    <w:rsid w:val="00EC036F"/>
    <w:rsid w:val="00EC1335"/>
    <w:rsid w:val="00EC1B31"/>
    <w:rsid w:val="00EC2674"/>
    <w:rsid w:val="00EC2839"/>
    <w:rsid w:val="00EC3011"/>
    <w:rsid w:val="00EC3617"/>
    <w:rsid w:val="00EC4260"/>
    <w:rsid w:val="00EC439C"/>
    <w:rsid w:val="00EC4490"/>
    <w:rsid w:val="00EC4CD4"/>
    <w:rsid w:val="00EC4EBD"/>
    <w:rsid w:val="00EC5182"/>
    <w:rsid w:val="00EC55AA"/>
    <w:rsid w:val="00EC5CA0"/>
    <w:rsid w:val="00EC648D"/>
    <w:rsid w:val="00EC6B03"/>
    <w:rsid w:val="00EC6E51"/>
    <w:rsid w:val="00EC711B"/>
    <w:rsid w:val="00EC7625"/>
    <w:rsid w:val="00EC7BCD"/>
    <w:rsid w:val="00EC7FCC"/>
    <w:rsid w:val="00ED0129"/>
    <w:rsid w:val="00ED018D"/>
    <w:rsid w:val="00ED03B1"/>
    <w:rsid w:val="00ED051E"/>
    <w:rsid w:val="00ED0A2A"/>
    <w:rsid w:val="00ED0CAD"/>
    <w:rsid w:val="00ED0D0C"/>
    <w:rsid w:val="00ED16F5"/>
    <w:rsid w:val="00ED1AEB"/>
    <w:rsid w:val="00ED234D"/>
    <w:rsid w:val="00ED25DD"/>
    <w:rsid w:val="00ED266F"/>
    <w:rsid w:val="00ED2F26"/>
    <w:rsid w:val="00ED303D"/>
    <w:rsid w:val="00ED314E"/>
    <w:rsid w:val="00ED315D"/>
    <w:rsid w:val="00ED34C6"/>
    <w:rsid w:val="00ED4023"/>
    <w:rsid w:val="00ED42A0"/>
    <w:rsid w:val="00ED466C"/>
    <w:rsid w:val="00ED484C"/>
    <w:rsid w:val="00ED536A"/>
    <w:rsid w:val="00ED5C47"/>
    <w:rsid w:val="00ED5F53"/>
    <w:rsid w:val="00ED6032"/>
    <w:rsid w:val="00ED679B"/>
    <w:rsid w:val="00ED67AF"/>
    <w:rsid w:val="00ED709A"/>
    <w:rsid w:val="00ED7620"/>
    <w:rsid w:val="00ED7919"/>
    <w:rsid w:val="00ED7FDE"/>
    <w:rsid w:val="00EE0184"/>
    <w:rsid w:val="00EE0788"/>
    <w:rsid w:val="00EE0C82"/>
    <w:rsid w:val="00EE1439"/>
    <w:rsid w:val="00EE1771"/>
    <w:rsid w:val="00EE279C"/>
    <w:rsid w:val="00EE27D4"/>
    <w:rsid w:val="00EE2A00"/>
    <w:rsid w:val="00EE321A"/>
    <w:rsid w:val="00EE3DE1"/>
    <w:rsid w:val="00EE49AC"/>
    <w:rsid w:val="00EE4AB8"/>
    <w:rsid w:val="00EE5027"/>
    <w:rsid w:val="00EE5210"/>
    <w:rsid w:val="00EE5F22"/>
    <w:rsid w:val="00EE6FF9"/>
    <w:rsid w:val="00EE7282"/>
    <w:rsid w:val="00EF09CD"/>
    <w:rsid w:val="00EF165B"/>
    <w:rsid w:val="00EF22F1"/>
    <w:rsid w:val="00EF2721"/>
    <w:rsid w:val="00EF2842"/>
    <w:rsid w:val="00EF2942"/>
    <w:rsid w:val="00EF29ED"/>
    <w:rsid w:val="00EF3011"/>
    <w:rsid w:val="00EF36D5"/>
    <w:rsid w:val="00EF37F3"/>
    <w:rsid w:val="00EF387F"/>
    <w:rsid w:val="00EF498D"/>
    <w:rsid w:val="00EF4C62"/>
    <w:rsid w:val="00EF4E46"/>
    <w:rsid w:val="00EF5721"/>
    <w:rsid w:val="00EF5937"/>
    <w:rsid w:val="00EF6055"/>
    <w:rsid w:val="00EF64AD"/>
    <w:rsid w:val="00EF64E0"/>
    <w:rsid w:val="00EF7155"/>
    <w:rsid w:val="00EF753F"/>
    <w:rsid w:val="00EF7850"/>
    <w:rsid w:val="00EF7DDC"/>
    <w:rsid w:val="00F0098D"/>
    <w:rsid w:val="00F01553"/>
    <w:rsid w:val="00F01987"/>
    <w:rsid w:val="00F01F71"/>
    <w:rsid w:val="00F02040"/>
    <w:rsid w:val="00F02179"/>
    <w:rsid w:val="00F02586"/>
    <w:rsid w:val="00F0316D"/>
    <w:rsid w:val="00F04423"/>
    <w:rsid w:val="00F044C2"/>
    <w:rsid w:val="00F047E0"/>
    <w:rsid w:val="00F06B6A"/>
    <w:rsid w:val="00F06C20"/>
    <w:rsid w:val="00F0740B"/>
    <w:rsid w:val="00F074DE"/>
    <w:rsid w:val="00F07BA4"/>
    <w:rsid w:val="00F10033"/>
    <w:rsid w:val="00F10B89"/>
    <w:rsid w:val="00F1113B"/>
    <w:rsid w:val="00F1126E"/>
    <w:rsid w:val="00F11423"/>
    <w:rsid w:val="00F1145B"/>
    <w:rsid w:val="00F11771"/>
    <w:rsid w:val="00F1183E"/>
    <w:rsid w:val="00F11EAC"/>
    <w:rsid w:val="00F12193"/>
    <w:rsid w:val="00F12355"/>
    <w:rsid w:val="00F12447"/>
    <w:rsid w:val="00F13BCB"/>
    <w:rsid w:val="00F140C1"/>
    <w:rsid w:val="00F14527"/>
    <w:rsid w:val="00F14846"/>
    <w:rsid w:val="00F1485D"/>
    <w:rsid w:val="00F14973"/>
    <w:rsid w:val="00F14D59"/>
    <w:rsid w:val="00F14F64"/>
    <w:rsid w:val="00F156A3"/>
    <w:rsid w:val="00F15733"/>
    <w:rsid w:val="00F16B75"/>
    <w:rsid w:val="00F16E04"/>
    <w:rsid w:val="00F16F4F"/>
    <w:rsid w:val="00F20498"/>
    <w:rsid w:val="00F20DD5"/>
    <w:rsid w:val="00F21544"/>
    <w:rsid w:val="00F237D4"/>
    <w:rsid w:val="00F241EC"/>
    <w:rsid w:val="00F24701"/>
    <w:rsid w:val="00F24AB3"/>
    <w:rsid w:val="00F250FC"/>
    <w:rsid w:val="00F255E9"/>
    <w:rsid w:val="00F2594A"/>
    <w:rsid w:val="00F25E1B"/>
    <w:rsid w:val="00F25F69"/>
    <w:rsid w:val="00F2632D"/>
    <w:rsid w:val="00F264D9"/>
    <w:rsid w:val="00F264ED"/>
    <w:rsid w:val="00F26AF9"/>
    <w:rsid w:val="00F2716C"/>
    <w:rsid w:val="00F275C4"/>
    <w:rsid w:val="00F2788C"/>
    <w:rsid w:val="00F2792F"/>
    <w:rsid w:val="00F30118"/>
    <w:rsid w:val="00F306F8"/>
    <w:rsid w:val="00F307EE"/>
    <w:rsid w:val="00F30DDA"/>
    <w:rsid w:val="00F31120"/>
    <w:rsid w:val="00F31C2E"/>
    <w:rsid w:val="00F31D5E"/>
    <w:rsid w:val="00F31E74"/>
    <w:rsid w:val="00F320B2"/>
    <w:rsid w:val="00F32959"/>
    <w:rsid w:val="00F32994"/>
    <w:rsid w:val="00F329AE"/>
    <w:rsid w:val="00F33650"/>
    <w:rsid w:val="00F34934"/>
    <w:rsid w:val="00F355AD"/>
    <w:rsid w:val="00F36337"/>
    <w:rsid w:val="00F36542"/>
    <w:rsid w:val="00F369AC"/>
    <w:rsid w:val="00F36B08"/>
    <w:rsid w:val="00F36F00"/>
    <w:rsid w:val="00F3742F"/>
    <w:rsid w:val="00F406C7"/>
    <w:rsid w:val="00F409E4"/>
    <w:rsid w:val="00F40BB6"/>
    <w:rsid w:val="00F413D9"/>
    <w:rsid w:val="00F4164C"/>
    <w:rsid w:val="00F42A7F"/>
    <w:rsid w:val="00F4308D"/>
    <w:rsid w:val="00F433A2"/>
    <w:rsid w:val="00F4468B"/>
    <w:rsid w:val="00F45037"/>
    <w:rsid w:val="00F453EC"/>
    <w:rsid w:val="00F45921"/>
    <w:rsid w:val="00F4655F"/>
    <w:rsid w:val="00F47B03"/>
    <w:rsid w:val="00F504BE"/>
    <w:rsid w:val="00F505CB"/>
    <w:rsid w:val="00F510CC"/>
    <w:rsid w:val="00F52B1A"/>
    <w:rsid w:val="00F52B5F"/>
    <w:rsid w:val="00F532C6"/>
    <w:rsid w:val="00F538DF"/>
    <w:rsid w:val="00F5523C"/>
    <w:rsid w:val="00F555BC"/>
    <w:rsid w:val="00F5562B"/>
    <w:rsid w:val="00F55D83"/>
    <w:rsid w:val="00F55DBD"/>
    <w:rsid w:val="00F55E64"/>
    <w:rsid w:val="00F5638D"/>
    <w:rsid w:val="00F56D88"/>
    <w:rsid w:val="00F57281"/>
    <w:rsid w:val="00F574BA"/>
    <w:rsid w:val="00F576CF"/>
    <w:rsid w:val="00F57C6C"/>
    <w:rsid w:val="00F57F35"/>
    <w:rsid w:val="00F60C59"/>
    <w:rsid w:val="00F60EC8"/>
    <w:rsid w:val="00F61027"/>
    <w:rsid w:val="00F61210"/>
    <w:rsid w:val="00F61863"/>
    <w:rsid w:val="00F62205"/>
    <w:rsid w:val="00F62E1F"/>
    <w:rsid w:val="00F63708"/>
    <w:rsid w:val="00F6395A"/>
    <w:rsid w:val="00F63F42"/>
    <w:rsid w:val="00F640B8"/>
    <w:rsid w:val="00F644A5"/>
    <w:rsid w:val="00F64C25"/>
    <w:rsid w:val="00F64DF7"/>
    <w:rsid w:val="00F64F32"/>
    <w:rsid w:val="00F65476"/>
    <w:rsid w:val="00F654F2"/>
    <w:rsid w:val="00F655E1"/>
    <w:rsid w:val="00F65E72"/>
    <w:rsid w:val="00F65F10"/>
    <w:rsid w:val="00F6624F"/>
    <w:rsid w:val="00F66761"/>
    <w:rsid w:val="00F66821"/>
    <w:rsid w:val="00F66990"/>
    <w:rsid w:val="00F66E9B"/>
    <w:rsid w:val="00F67CDC"/>
    <w:rsid w:val="00F67D1E"/>
    <w:rsid w:val="00F67D5F"/>
    <w:rsid w:val="00F70C55"/>
    <w:rsid w:val="00F714D8"/>
    <w:rsid w:val="00F72018"/>
    <w:rsid w:val="00F724F0"/>
    <w:rsid w:val="00F72515"/>
    <w:rsid w:val="00F72705"/>
    <w:rsid w:val="00F72F18"/>
    <w:rsid w:val="00F73636"/>
    <w:rsid w:val="00F73890"/>
    <w:rsid w:val="00F73C08"/>
    <w:rsid w:val="00F73E69"/>
    <w:rsid w:val="00F73FAE"/>
    <w:rsid w:val="00F74441"/>
    <w:rsid w:val="00F74A39"/>
    <w:rsid w:val="00F74A51"/>
    <w:rsid w:val="00F74BE3"/>
    <w:rsid w:val="00F74F3C"/>
    <w:rsid w:val="00F7571F"/>
    <w:rsid w:val="00F75BBE"/>
    <w:rsid w:val="00F77EFA"/>
    <w:rsid w:val="00F80EAB"/>
    <w:rsid w:val="00F810DB"/>
    <w:rsid w:val="00F81F25"/>
    <w:rsid w:val="00F82870"/>
    <w:rsid w:val="00F82C98"/>
    <w:rsid w:val="00F831C6"/>
    <w:rsid w:val="00F833B3"/>
    <w:rsid w:val="00F83627"/>
    <w:rsid w:val="00F8384A"/>
    <w:rsid w:val="00F839F6"/>
    <w:rsid w:val="00F840F9"/>
    <w:rsid w:val="00F84147"/>
    <w:rsid w:val="00F841A5"/>
    <w:rsid w:val="00F842CD"/>
    <w:rsid w:val="00F84687"/>
    <w:rsid w:val="00F84E2D"/>
    <w:rsid w:val="00F84FAD"/>
    <w:rsid w:val="00F85403"/>
    <w:rsid w:val="00F8606A"/>
    <w:rsid w:val="00F861A5"/>
    <w:rsid w:val="00F8681D"/>
    <w:rsid w:val="00F8765A"/>
    <w:rsid w:val="00F879F9"/>
    <w:rsid w:val="00F87F6C"/>
    <w:rsid w:val="00F87FA4"/>
    <w:rsid w:val="00F901B6"/>
    <w:rsid w:val="00F905C9"/>
    <w:rsid w:val="00F90FC1"/>
    <w:rsid w:val="00F91213"/>
    <w:rsid w:val="00F91A5E"/>
    <w:rsid w:val="00F922AE"/>
    <w:rsid w:val="00F92572"/>
    <w:rsid w:val="00F926C3"/>
    <w:rsid w:val="00F92FB6"/>
    <w:rsid w:val="00F92FB8"/>
    <w:rsid w:val="00F93059"/>
    <w:rsid w:val="00F93334"/>
    <w:rsid w:val="00F93F4B"/>
    <w:rsid w:val="00F93FF0"/>
    <w:rsid w:val="00F94073"/>
    <w:rsid w:val="00F943C9"/>
    <w:rsid w:val="00F951E0"/>
    <w:rsid w:val="00F95859"/>
    <w:rsid w:val="00F95996"/>
    <w:rsid w:val="00F960A8"/>
    <w:rsid w:val="00F967C5"/>
    <w:rsid w:val="00F969D9"/>
    <w:rsid w:val="00F97284"/>
    <w:rsid w:val="00F97716"/>
    <w:rsid w:val="00F9775F"/>
    <w:rsid w:val="00F97A29"/>
    <w:rsid w:val="00F97F5D"/>
    <w:rsid w:val="00FA0173"/>
    <w:rsid w:val="00FA1055"/>
    <w:rsid w:val="00FA1FF7"/>
    <w:rsid w:val="00FA24D3"/>
    <w:rsid w:val="00FA290E"/>
    <w:rsid w:val="00FA2A36"/>
    <w:rsid w:val="00FA2BAC"/>
    <w:rsid w:val="00FA2BBD"/>
    <w:rsid w:val="00FA3B1D"/>
    <w:rsid w:val="00FA4475"/>
    <w:rsid w:val="00FA44CC"/>
    <w:rsid w:val="00FA5059"/>
    <w:rsid w:val="00FA65D0"/>
    <w:rsid w:val="00FA6903"/>
    <w:rsid w:val="00FA6E43"/>
    <w:rsid w:val="00FA78D6"/>
    <w:rsid w:val="00FB06D6"/>
    <w:rsid w:val="00FB094C"/>
    <w:rsid w:val="00FB1047"/>
    <w:rsid w:val="00FB167B"/>
    <w:rsid w:val="00FB1888"/>
    <w:rsid w:val="00FB1E02"/>
    <w:rsid w:val="00FB2AE2"/>
    <w:rsid w:val="00FB2B4F"/>
    <w:rsid w:val="00FB3495"/>
    <w:rsid w:val="00FB40CD"/>
    <w:rsid w:val="00FB43F9"/>
    <w:rsid w:val="00FB4945"/>
    <w:rsid w:val="00FB5749"/>
    <w:rsid w:val="00FB589B"/>
    <w:rsid w:val="00FB5F9F"/>
    <w:rsid w:val="00FB6577"/>
    <w:rsid w:val="00FB659A"/>
    <w:rsid w:val="00FB690E"/>
    <w:rsid w:val="00FB6B0A"/>
    <w:rsid w:val="00FB6DCB"/>
    <w:rsid w:val="00FB7163"/>
    <w:rsid w:val="00FB7326"/>
    <w:rsid w:val="00FC1F7A"/>
    <w:rsid w:val="00FC222A"/>
    <w:rsid w:val="00FC22A5"/>
    <w:rsid w:val="00FC2349"/>
    <w:rsid w:val="00FC26A6"/>
    <w:rsid w:val="00FC2C14"/>
    <w:rsid w:val="00FC2DF7"/>
    <w:rsid w:val="00FC35CF"/>
    <w:rsid w:val="00FC3AD8"/>
    <w:rsid w:val="00FC3BC4"/>
    <w:rsid w:val="00FC3EFF"/>
    <w:rsid w:val="00FC4FB0"/>
    <w:rsid w:val="00FC5180"/>
    <w:rsid w:val="00FC5AC3"/>
    <w:rsid w:val="00FC5CA4"/>
    <w:rsid w:val="00FC5F50"/>
    <w:rsid w:val="00FC5FB6"/>
    <w:rsid w:val="00FC602B"/>
    <w:rsid w:val="00FC6217"/>
    <w:rsid w:val="00FC6650"/>
    <w:rsid w:val="00FC6AE4"/>
    <w:rsid w:val="00FC7367"/>
    <w:rsid w:val="00FC7633"/>
    <w:rsid w:val="00FC77BC"/>
    <w:rsid w:val="00FC7B89"/>
    <w:rsid w:val="00FD02AB"/>
    <w:rsid w:val="00FD0655"/>
    <w:rsid w:val="00FD09EB"/>
    <w:rsid w:val="00FD0F4F"/>
    <w:rsid w:val="00FD170C"/>
    <w:rsid w:val="00FD19AC"/>
    <w:rsid w:val="00FD19C7"/>
    <w:rsid w:val="00FD206D"/>
    <w:rsid w:val="00FD2731"/>
    <w:rsid w:val="00FD2E6B"/>
    <w:rsid w:val="00FD3300"/>
    <w:rsid w:val="00FD33C7"/>
    <w:rsid w:val="00FD375D"/>
    <w:rsid w:val="00FD377E"/>
    <w:rsid w:val="00FD3DD9"/>
    <w:rsid w:val="00FD4306"/>
    <w:rsid w:val="00FD48BE"/>
    <w:rsid w:val="00FD48FC"/>
    <w:rsid w:val="00FD4B4B"/>
    <w:rsid w:val="00FD5104"/>
    <w:rsid w:val="00FD535B"/>
    <w:rsid w:val="00FD5D36"/>
    <w:rsid w:val="00FD5DC2"/>
    <w:rsid w:val="00FD5F4B"/>
    <w:rsid w:val="00FD6443"/>
    <w:rsid w:val="00FD6851"/>
    <w:rsid w:val="00FD7688"/>
    <w:rsid w:val="00FD778E"/>
    <w:rsid w:val="00FD7A05"/>
    <w:rsid w:val="00FD7D8D"/>
    <w:rsid w:val="00FE01A1"/>
    <w:rsid w:val="00FE0659"/>
    <w:rsid w:val="00FE0C7B"/>
    <w:rsid w:val="00FE0EE3"/>
    <w:rsid w:val="00FE2260"/>
    <w:rsid w:val="00FE2670"/>
    <w:rsid w:val="00FE30D8"/>
    <w:rsid w:val="00FE4430"/>
    <w:rsid w:val="00FE4588"/>
    <w:rsid w:val="00FE45CF"/>
    <w:rsid w:val="00FE482D"/>
    <w:rsid w:val="00FE4CFE"/>
    <w:rsid w:val="00FE5049"/>
    <w:rsid w:val="00FE6991"/>
    <w:rsid w:val="00FE7086"/>
    <w:rsid w:val="00FE718F"/>
    <w:rsid w:val="00FE7778"/>
    <w:rsid w:val="00FE7A37"/>
    <w:rsid w:val="00FF001F"/>
    <w:rsid w:val="00FF06DA"/>
    <w:rsid w:val="00FF0764"/>
    <w:rsid w:val="00FF09DD"/>
    <w:rsid w:val="00FF0D4B"/>
    <w:rsid w:val="00FF0DC2"/>
    <w:rsid w:val="00FF14B3"/>
    <w:rsid w:val="00FF15F2"/>
    <w:rsid w:val="00FF2880"/>
    <w:rsid w:val="00FF2E58"/>
    <w:rsid w:val="00FF3618"/>
    <w:rsid w:val="00FF37C6"/>
    <w:rsid w:val="00FF4958"/>
    <w:rsid w:val="00FF4D60"/>
    <w:rsid w:val="00FF5116"/>
    <w:rsid w:val="00FF51F9"/>
    <w:rsid w:val="00FF549E"/>
    <w:rsid w:val="00FF6919"/>
    <w:rsid w:val="00FF6B08"/>
    <w:rsid w:val="00FF6D06"/>
    <w:rsid w:val="00FF6D6C"/>
    <w:rsid w:val="00FF6F18"/>
    <w:rsid w:val="00FF7863"/>
    <w:rsid w:val="00FF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C5BF"/>
  <w15:chartTrackingRefBased/>
  <w15:docId w15:val="{EF6E3DFC-F16D-4553-9EC7-2A39A9D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1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1F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A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055"/>
    <w:rPr>
      <w:sz w:val="16"/>
      <w:szCs w:val="16"/>
    </w:rPr>
  </w:style>
  <w:style w:type="paragraph" w:styleId="CommentText">
    <w:name w:val="annotation text"/>
    <w:basedOn w:val="Normal"/>
    <w:link w:val="CommentTextChar"/>
    <w:uiPriority w:val="99"/>
    <w:unhideWhenUsed/>
    <w:rsid w:val="00FA1055"/>
    <w:pPr>
      <w:spacing w:line="240" w:lineRule="auto"/>
    </w:pPr>
    <w:rPr>
      <w:sz w:val="20"/>
      <w:szCs w:val="20"/>
    </w:rPr>
  </w:style>
  <w:style w:type="character" w:customStyle="1" w:styleId="CommentTextChar">
    <w:name w:val="Comment Text Char"/>
    <w:basedOn w:val="DefaultParagraphFont"/>
    <w:link w:val="CommentText"/>
    <w:uiPriority w:val="99"/>
    <w:rsid w:val="00FA1055"/>
    <w:rPr>
      <w:sz w:val="20"/>
      <w:szCs w:val="20"/>
    </w:rPr>
  </w:style>
  <w:style w:type="paragraph" w:styleId="CommentSubject">
    <w:name w:val="annotation subject"/>
    <w:basedOn w:val="CommentText"/>
    <w:next w:val="CommentText"/>
    <w:link w:val="CommentSubjectChar"/>
    <w:uiPriority w:val="99"/>
    <w:semiHidden/>
    <w:unhideWhenUsed/>
    <w:rsid w:val="00FA1055"/>
    <w:rPr>
      <w:b/>
      <w:bCs/>
    </w:rPr>
  </w:style>
  <w:style w:type="character" w:customStyle="1" w:styleId="CommentSubjectChar">
    <w:name w:val="Comment Subject Char"/>
    <w:basedOn w:val="CommentTextChar"/>
    <w:link w:val="CommentSubject"/>
    <w:uiPriority w:val="99"/>
    <w:semiHidden/>
    <w:rsid w:val="00FA1055"/>
    <w:rPr>
      <w:b/>
      <w:bCs/>
      <w:sz w:val="20"/>
      <w:szCs w:val="20"/>
    </w:rPr>
  </w:style>
  <w:style w:type="paragraph" w:styleId="ListParagraph">
    <w:name w:val="List Paragraph"/>
    <w:basedOn w:val="Normal"/>
    <w:uiPriority w:val="34"/>
    <w:qFormat/>
    <w:rsid w:val="00370C9D"/>
    <w:pPr>
      <w:ind w:left="720"/>
      <w:contextualSpacing/>
    </w:pPr>
  </w:style>
  <w:style w:type="character" w:customStyle="1" w:styleId="Heading1Char">
    <w:name w:val="Heading 1 Char"/>
    <w:basedOn w:val="DefaultParagraphFont"/>
    <w:link w:val="Heading1"/>
    <w:uiPriority w:val="9"/>
    <w:rsid w:val="007C0B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0B4A"/>
    <w:pPr>
      <w:outlineLvl w:val="9"/>
    </w:pPr>
    <w:rPr>
      <w:lang w:val="en-US"/>
    </w:rPr>
  </w:style>
  <w:style w:type="paragraph" w:styleId="TOC2">
    <w:name w:val="toc 2"/>
    <w:basedOn w:val="Normal"/>
    <w:next w:val="Normal"/>
    <w:autoRedefine/>
    <w:uiPriority w:val="39"/>
    <w:unhideWhenUsed/>
    <w:rsid w:val="005C2DD6"/>
    <w:pPr>
      <w:tabs>
        <w:tab w:val="left" w:pos="993"/>
        <w:tab w:val="right" w:leader="dot" w:pos="9016"/>
      </w:tabs>
      <w:spacing w:after="100" w:line="360" w:lineRule="auto"/>
      <w:ind w:left="426"/>
    </w:pPr>
  </w:style>
  <w:style w:type="character" w:styleId="Hyperlink">
    <w:name w:val="Hyperlink"/>
    <w:basedOn w:val="DefaultParagraphFont"/>
    <w:uiPriority w:val="99"/>
    <w:unhideWhenUsed/>
    <w:rsid w:val="007C0B4A"/>
    <w:rPr>
      <w:color w:val="0563C1" w:themeColor="hyperlink"/>
      <w:u w:val="single"/>
    </w:rPr>
  </w:style>
  <w:style w:type="character" w:styleId="UnresolvedMention">
    <w:name w:val="Unresolved Mention"/>
    <w:basedOn w:val="DefaultParagraphFont"/>
    <w:uiPriority w:val="99"/>
    <w:semiHidden/>
    <w:unhideWhenUsed/>
    <w:rsid w:val="00FB659A"/>
    <w:rPr>
      <w:color w:val="605E5C"/>
      <w:shd w:val="clear" w:color="auto" w:fill="E1DFDD"/>
    </w:rPr>
  </w:style>
  <w:style w:type="paragraph" w:styleId="TOC1">
    <w:name w:val="toc 1"/>
    <w:basedOn w:val="Normal"/>
    <w:next w:val="Normal"/>
    <w:autoRedefine/>
    <w:uiPriority w:val="39"/>
    <w:unhideWhenUsed/>
    <w:rsid w:val="00263EE1"/>
    <w:pPr>
      <w:tabs>
        <w:tab w:val="left" w:pos="426"/>
        <w:tab w:val="right" w:leader="dot" w:pos="9016"/>
      </w:tabs>
      <w:spacing w:after="100"/>
    </w:pPr>
  </w:style>
  <w:style w:type="paragraph" w:styleId="FootnoteText">
    <w:name w:val="footnote text"/>
    <w:basedOn w:val="Normal"/>
    <w:link w:val="FootnoteTextChar"/>
    <w:uiPriority w:val="99"/>
    <w:unhideWhenUsed/>
    <w:rsid w:val="00E12344"/>
    <w:pPr>
      <w:spacing w:after="0" w:line="240" w:lineRule="auto"/>
    </w:pPr>
    <w:rPr>
      <w:sz w:val="20"/>
      <w:szCs w:val="20"/>
    </w:rPr>
  </w:style>
  <w:style w:type="character" w:customStyle="1" w:styleId="FootnoteTextChar">
    <w:name w:val="Footnote Text Char"/>
    <w:basedOn w:val="DefaultParagraphFont"/>
    <w:link w:val="FootnoteText"/>
    <w:uiPriority w:val="99"/>
    <w:rsid w:val="00E12344"/>
    <w:rPr>
      <w:sz w:val="20"/>
      <w:szCs w:val="20"/>
    </w:rPr>
  </w:style>
  <w:style w:type="character" w:styleId="FootnoteReference">
    <w:name w:val="footnote reference"/>
    <w:basedOn w:val="DefaultParagraphFont"/>
    <w:uiPriority w:val="99"/>
    <w:semiHidden/>
    <w:unhideWhenUsed/>
    <w:rsid w:val="00E12344"/>
    <w:rPr>
      <w:vertAlign w:val="superscript"/>
    </w:rPr>
  </w:style>
  <w:style w:type="paragraph" w:styleId="Header">
    <w:name w:val="header"/>
    <w:basedOn w:val="Normal"/>
    <w:link w:val="HeaderChar"/>
    <w:uiPriority w:val="99"/>
    <w:unhideWhenUsed/>
    <w:rsid w:val="00873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DE"/>
  </w:style>
  <w:style w:type="paragraph" w:styleId="Footer">
    <w:name w:val="footer"/>
    <w:basedOn w:val="Normal"/>
    <w:link w:val="FooterChar"/>
    <w:uiPriority w:val="99"/>
    <w:unhideWhenUsed/>
    <w:rsid w:val="00873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DE"/>
  </w:style>
  <w:style w:type="character" w:styleId="FollowedHyperlink">
    <w:name w:val="FollowedHyperlink"/>
    <w:basedOn w:val="DefaultParagraphFont"/>
    <w:uiPriority w:val="99"/>
    <w:semiHidden/>
    <w:unhideWhenUsed/>
    <w:rsid w:val="00F6624F"/>
    <w:rPr>
      <w:color w:val="954F72" w:themeColor="followedHyperlink"/>
      <w:u w:val="single"/>
    </w:rPr>
  </w:style>
  <w:style w:type="numbering" w:customStyle="1" w:styleId="Style1">
    <w:name w:val="Style1"/>
    <w:uiPriority w:val="99"/>
    <w:rsid w:val="00E26EA7"/>
    <w:pPr>
      <w:numPr>
        <w:numId w:val="6"/>
      </w:numPr>
    </w:pPr>
  </w:style>
  <w:style w:type="numbering" w:customStyle="1" w:styleId="Style2">
    <w:name w:val="Style2"/>
    <w:uiPriority w:val="99"/>
    <w:rsid w:val="00956A99"/>
    <w:pPr>
      <w:numPr>
        <w:numId w:val="8"/>
      </w:numPr>
    </w:pPr>
  </w:style>
  <w:style w:type="character" w:customStyle="1" w:styleId="Heading3Char">
    <w:name w:val="Heading 3 Char"/>
    <w:basedOn w:val="DefaultParagraphFont"/>
    <w:link w:val="Heading3"/>
    <w:uiPriority w:val="9"/>
    <w:rsid w:val="001E16F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32BFD"/>
    <w:pPr>
      <w:spacing w:after="100"/>
      <w:ind w:left="440"/>
    </w:pPr>
  </w:style>
  <w:style w:type="table" w:styleId="GridTable1Light-Accent6">
    <w:name w:val="Grid Table 1 Light Accent 6"/>
    <w:basedOn w:val="TableNormal"/>
    <w:uiPriority w:val="46"/>
    <w:rsid w:val="0034059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1E34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50345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2E444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B067B3"/>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2742">
      <w:bodyDiv w:val="1"/>
      <w:marLeft w:val="0"/>
      <w:marRight w:val="0"/>
      <w:marTop w:val="0"/>
      <w:marBottom w:val="0"/>
      <w:divBdr>
        <w:top w:val="none" w:sz="0" w:space="0" w:color="auto"/>
        <w:left w:val="none" w:sz="0" w:space="0" w:color="auto"/>
        <w:bottom w:val="none" w:sz="0" w:space="0" w:color="auto"/>
        <w:right w:val="none" w:sz="0" w:space="0" w:color="auto"/>
      </w:divBdr>
    </w:div>
    <w:div w:id="886723848">
      <w:bodyDiv w:val="1"/>
      <w:marLeft w:val="0"/>
      <w:marRight w:val="0"/>
      <w:marTop w:val="0"/>
      <w:marBottom w:val="0"/>
      <w:divBdr>
        <w:top w:val="none" w:sz="0" w:space="0" w:color="auto"/>
        <w:left w:val="none" w:sz="0" w:space="0" w:color="auto"/>
        <w:bottom w:val="none" w:sz="0" w:space="0" w:color="auto"/>
        <w:right w:val="none" w:sz="0" w:space="0" w:color="auto"/>
      </w:divBdr>
    </w:div>
    <w:div w:id="899637693">
      <w:bodyDiv w:val="1"/>
      <w:marLeft w:val="0"/>
      <w:marRight w:val="0"/>
      <w:marTop w:val="0"/>
      <w:marBottom w:val="0"/>
      <w:divBdr>
        <w:top w:val="none" w:sz="0" w:space="0" w:color="auto"/>
        <w:left w:val="none" w:sz="0" w:space="0" w:color="auto"/>
        <w:bottom w:val="none" w:sz="0" w:space="0" w:color="auto"/>
        <w:right w:val="none" w:sz="0" w:space="0" w:color="auto"/>
      </w:divBdr>
    </w:div>
    <w:div w:id="15916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dairyaustralia.com.au/resource-repository/2021/06/24/fert$mart-nitrogen-pocket-guide" TargetMode="External"/><Relationship Id="rId39" Type="http://schemas.openxmlformats.org/officeDocument/2006/relationships/hyperlink" Target="https://academic.oup.com/jas/article/91/11/5070/4731316" TargetMode="External"/><Relationship Id="rId21" Type="http://schemas.openxmlformats.org/officeDocument/2006/relationships/hyperlink" Target="https://agriculture.vic.gov.au/__data/assets/pdf_file/0006/857607/Soil-Carbon-Snapshot-updated-May-2022.pdf" TargetMode="External"/><Relationship Id="rId34" Type="http://schemas.openxmlformats.org/officeDocument/2006/relationships/hyperlink" Target="https://www.fao.org/publications/card/en/c/87178c51-d4d1-515d-9d0e-b5a6937fa6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mdpi.com/2076-2615/11/4/9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airy.com.au/sustainability/reducing-environmental-impact/reducing-emissions" TargetMode="External"/><Relationship Id="rId32" Type="http://schemas.openxmlformats.org/officeDocument/2006/relationships/hyperlink" Target="https://www.fao.org/3/a0701e/a0701e.pdf" TargetMode="External"/><Relationship Id="rId37" Type="http://schemas.openxmlformats.org/officeDocument/2006/relationships/hyperlink" Target="https://www.cambridge.org/core/services/aop-cambridge-core/content/view/2C1E6F2AA8B6608B9B5C49544EEB26F4/S1751731116001440a.pdf/current-available-strategies-to-mitigate-greenhouse-gas-emissions-in-livestock-systems-an-animal-welfare-perspectiv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dairy.com.au/sustainability/reducing-environmental-impact/reducing-emissions" TargetMode="External"/><Relationship Id="rId28" Type="http://schemas.openxmlformats.org/officeDocument/2006/relationships/hyperlink" Target="https://www.cambridge.org/core/journals/animal/article/review-fifty-years-of-research-on-rumen-methanogenesis-lessons-learned-and-future-challenges-for-mitigation/8F7537B81CBDA633F48663C1ACF33036" TargetMode="External"/><Relationship Id="rId36" Type="http://schemas.openxmlformats.org/officeDocument/2006/relationships/hyperlink" Target="https://academic.oup.com/jas/article/91/11/5095/4731330"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www.sciencedirect.com/science/article/pii/S18711413100007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dairyaustralia.com.au/land-water-and-climate" TargetMode="External"/><Relationship Id="rId27" Type="http://schemas.openxmlformats.org/officeDocument/2006/relationships/hyperlink" Target="https://agrifutures.com.au/wp-content/uploads/2020/09/20-078.pdf" TargetMode="External"/><Relationship Id="rId30" Type="http://schemas.openxmlformats.org/officeDocument/2006/relationships/hyperlink" Target="https://www.publish.csiro.au/AN/AN18574" TargetMode="External"/><Relationship Id="rId35" Type="http://schemas.openxmlformats.org/officeDocument/2006/relationships/hyperlink" Target="https://academic.oup.com/jas/article/91/11/5045/4731308"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airyaustralia.com.au/farm-business/dairybase" TargetMode="External"/><Relationship Id="rId17" Type="http://schemas.openxmlformats.org/officeDocument/2006/relationships/image" Target="media/image8.emf"/><Relationship Id="rId25" Type="http://schemas.openxmlformats.org/officeDocument/2006/relationships/hyperlink" Target="https://www.dairyaustralia.com.au/resource-repository/2021/06/24/fert$mart-nitrogen-guidelines---best-management-practice" TargetMode="External"/><Relationship Id="rId33" Type="http://schemas.openxmlformats.org/officeDocument/2006/relationships/hyperlink" Target="https://onlinelibrary.wiley.com/doi/full/10.1111/gcb.15816" TargetMode="External"/><Relationship Id="rId38" Type="http://schemas.openxmlformats.org/officeDocument/2006/relationships/hyperlink" Target="https://reader.elsevier.com/reader/sd/pii/S2405654520300706?token=4113F5241001D734B17EB067E8A665DA98A9B4DB00CF0D2264E4708B879AEFB550EC7EDC61A4FB66DF7A5B40D61D2A2E&amp;originRegion=us-east-1&amp;originCreation=20220318052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C63B-A3DD-4E86-A31D-B4E7D546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5711</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Christie</dc:creator>
  <cp:keywords/>
  <dc:description/>
  <cp:lastModifiedBy>Karen Christie</cp:lastModifiedBy>
  <cp:revision>28</cp:revision>
  <cp:lastPrinted>2022-09-22T23:32:00Z</cp:lastPrinted>
  <dcterms:created xsi:type="dcterms:W3CDTF">2022-10-18T00:53:00Z</dcterms:created>
  <dcterms:modified xsi:type="dcterms:W3CDTF">2022-10-19T03:05:00Z</dcterms:modified>
</cp:coreProperties>
</file>